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31" w:rsidRDefault="00456BCD" w:rsidP="00456BCD">
      <w:pPr>
        <w:jc w:val="center"/>
        <w:rPr>
          <w:rFonts w:ascii="方正小标宋_GBK" w:eastAsia="方正小标宋_GBK" w:hAnsi="方正小标宋_GBK" w:hint="eastAsia"/>
          <w:b/>
          <w:bCs/>
          <w:sz w:val="30"/>
        </w:rPr>
      </w:pPr>
      <w:r w:rsidRPr="004A6AED">
        <w:rPr>
          <w:rFonts w:ascii="方正小标宋_GBK" w:eastAsia="方正小标宋_GBK" w:hAnsi="方正小标宋_GBK" w:hint="eastAsia"/>
          <w:b/>
          <w:bCs/>
          <w:sz w:val="30"/>
        </w:rPr>
        <w:t>城市综合执法领域基层政务公开标准目录</w:t>
      </w:r>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1800"/>
        <w:gridCol w:w="1980"/>
        <w:gridCol w:w="1620"/>
        <w:gridCol w:w="2160"/>
        <w:gridCol w:w="1440"/>
        <w:gridCol w:w="1440"/>
        <w:gridCol w:w="540"/>
        <w:gridCol w:w="720"/>
        <w:gridCol w:w="596"/>
        <w:gridCol w:w="664"/>
        <w:gridCol w:w="540"/>
        <w:gridCol w:w="720"/>
      </w:tblGrid>
      <w:tr w:rsidR="00456BCD" w:rsidRPr="00456BCD" w:rsidTr="00C77B87">
        <w:trPr>
          <w:cantSplit/>
          <w:trHeight w:val="420"/>
        </w:trPr>
        <w:tc>
          <w:tcPr>
            <w:tcW w:w="540" w:type="dxa"/>
            <w:vMerge w:val="restart"/>
            <w:shd w:val="clear" w:color="auto" w:fill="auto"/>
            <w:vAlign w:val="center"/>
          </w:tcPr>
          <w:p w:rsidR="00456BCD" w:rsidRPr="00456BCD" w:rsidRDefault="00456BCD" w:rsidP="00456BCD">
            <w:pPr>
              <w:widowControl/>
              <w:jc w:val="center"/>
              <w:rPr>
                <w:rFonts w:ascii="Times New Roman" w:eastAsia="宋体" w:hAnsi="Times New Roman" w:cs="Times New Roman"/>
                <w:color w:val="000000"/>
                <w:kern w:val="0"/>
                <w:sz w:val="22"/>
              </w:rPr>
            </w:pPr>
            <w:r w:rsidRPr="00456BCD">
              <w:rPr>
                <w:rFonts w:ascii="Times New Roman" w:eastAsia="宋体" w:hAnsi="宋体" w:cs="Times New Roman"/>
                <w:color w:val="000000"/>
                <w:kern w:val="0"/>
                <w:sz w:val="22"/>
              </w:rPr>
              <w:t>序号</w:t>
            </w:r>
          </w:p>
        </w:tc>
        <w:tc>
          <w:tcPr>
            <w:tcW w:w="2520" w:type="dxa"/>
            <w:gridSpan w:val="2"/>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公开事项</w:t>
            </w:r>
          </w:p>
        </w:tc>
        <w:tc>
          <w:tcPr>
            <w:tcW w:w="1980" w:type="dxa"/>
            <w:vMerge w:val="restart"/>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公开内容（要素）</w:t>
            </w:r>
          </w:p>
        </w:tc>
        <w:tc>
          <w:tcPr>
            <w:tcW w:w="1620" w:type="dxa"/>
            <w:vMerge w:val="restart"/>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公开依据</w:t>
            </w:r>
          </w:p>
        </w:tc>
        <w:tc>
          <w:tcPr>
            <w:tcW w:w="2160" w:type="dxa"/>
            <w:vMerge w:val="restart"/>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公开时限</w:t>
            </w:r>
          </w:p>
        </w:tc>
        <w:tc>
          <w:tcPr>
            <w:tcW w:w="1440" w:type="dxa"/>
            <w:vMerge w:val="restart"/>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公开主体</w:t>
            </w:r>
          </w:p>
        </w:tc>
        <w:tc>
          <w:tcPr>
            <w:tcW w:w="1440" w:type="dxa"/>
            <w:vMerge w:val="restart"/>
            <w:shd w:val="clear" w:color="auto" w:fill="auto"/>
            <w:vAlign w:val="center"/>
          </w:tcPr>
          <w:p w:rsidR="00456BCD" w:rsidRPr="00456BCD" w:rsidRDefault="00456BCD" w:rsidP="00456BCD">
            <w:pPr>
              <w:widowControl/>
              <w:jc w:val="center"/>
              <w:rPr>
                <w:rFonts w:ascii="黑体" w:eastAsia="黑体" w:hAnsi="宋体" w:cs="宋体"/>
                <w:kern w:val="0"/>
                <w:sz w:val="22"/>
              </w:rPr>
            </w:pPr>
            <w:r w:rsidRPr="00456BCD">
              <w:rPr>
                <w:rFonts w:ascii="黑体" w:eastAsia="黑体" w:hAnsi="宋体" w:cs="宋体" w:hint="eastAsia"/>
                <w:kern w:val="0"/>
                <w:sz w:val="22"/>
              </w:rPr>
              <w:t>公开渠道和载体</w:t>
            </w:r>
          </w:p>
        </w:tc>
        <w:tc>
          <w:tcPr>
            <w:tcW w:w="1260" w:type="dxa"/>
            <w:gridSpan w:val="2"/>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公开对象</w:t>
            </w:r>
          </w:p>
        </w:tc>
        <w:tc>
          <w:tcPr>
            <w:tcW w:w="1260" w:type="dxa"/>
            <w:gridSpan w:val="2"/>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公开方式</w:t>
            </w:r>
          </w:p>
        </w:tc>
        <w:tc>
          <w:tcPr>
            <w:tcW w:w="1260" w:type="dxa"/>
            <w:gridSpan w:val="2"/>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公开层级</w:t>
            </w:r>
          </w:p>
        </w:tc>
      </w:tr>
      <w:tr w:rsidR="00456BCD" w:rsidRPr="00456BCD" w:rsidTr="00C77B87">
        <w:trPr>
          <w:cantSplit/>
          <w:trHeight w:val="1123"/>
        </w:trPr>
        <w:tc>
          <w:tcPr>
            <w:tcW w:w="540" w:type="dxa"/>
            <w:vMerge/>
            <w:vAlign w:val="center"/>
          </w:tcPr>
          <w:p w:rsidR="00456BCD" w:rsidRPr="00456BCD" w:rsidRDefault="00456BCD" w:rsidP="00456BCD">
            <w:pPr>
              <w:widowControl/>
              <w:jc w:val="left"/>
              <w:rPr>
                <w:rFonts w:ascii="Times New Roman" w:eastAsia="宋体" w:hAnsi="Times New Roman" w:cs="Times New Roman"/>
                <w:color w:val="000000"/>
                <w:kern w:val="0"/>
                <w:sz w:val="22"/>
              </w:rPr>
            </w:pPr>
          </w:p>
        </w:tc>
        <w:tc>
          <w:tcPr>
            <w:tcW w:w="720" w:type="dxa"/>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一级事项</w:t>
            </w:r>
          </w:p>
        </w:tc>
        <w:tc>
          <w:tcPr>
            <w:tcW w:w="1800" w:type="dxa"/>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二级事项</w:t>
            </w:r>
          </w:p>
        </w:tc>
        <w:tc>
          <w:tcPr>
            <w:tcW w:w="1980" w:type="dxa"/>
            <w:vMerge/>
            <w:vAlign w:val="center"/>
          </w:tcPr>
          <w:p w:rsidR="00456BCD" w:rsidRPr="00456BCD" w:rsidRDefault="00456BCD" w:rsidP="00456BCD">
            <w:pPr>
              <w:widowControl/>
              <w:jc w:val="left"/>
              <w:rPr>
                <w:rFonts w:ascii="黑体" w:eastAsia="黑体" w:hAnsi="宋体" w:cs="宋体"/>
                <w:color w:val="000000"/>
                <w:kern w:val="0"/>
                <w:sz w:val="22"/>
              </w:rPr>
            </w:pPr>
          </w:p>
        </w:tc>
        <w:tc>
          <w:tcPr>
            <w:tcW w:w="1620" w:type="dxa"/>
            <w:vMerge/>
            <w:vAlign w:val="center"/>
          </w:tcPr>
          <w:p w:rsidR="00456BCD" w:rsidRPr="00456BCD" w:rsidRDefault="00456BCD" w:rsidP="00456BCD">
            <w:pPr>
              <w:widowControl/>
              <w:jc w:val="left"/>
              <w:rPr>
                <w:rFonts w:ascii="黑体" w:eastAsia="黑体" w:hAnsi="宋体" w:cs="宋体"/>
                <w:color w:val="000000"/>
                <w:kern w:val="0"/>
                <w:sz w:val="22"/>
              </w:rPr>
            </w:pPr>
          </w:p>
        </w:tc>
        <w:tc>
          <w:tcPr>
            <w:tcW w:w="2160" w:type="dxa"/>
            <w:vMerge/>
            <w:vAlign w:val="center"/>
          </w:tcPr>
          <w:p w:rsidR="00456BCD" w:rsidRPr="00456BCD" w:rsidRDefault="00456BCD" w:rsidP="00456BCD">
            <w:pPr>
              <w:widowControl/>
              <w:jc w:val="left"/>
              <w:rPr>
                <w:rFonts w:ascii="黑体" w:eastAsia="黑体" w:hAnsi="宋体" w:cs="宋体"/>
                <w:color w:val="000000"/>
                <w:kern w:val="0"/>
                <w:sz w:val="22"/>
              </w:rPr>
            </w:pPr>
          </w:p>
        </w:tc>
        <w:tc>
          <w:tcPr>
            <w:tcW w:w="1440" w:type="dxa"/>
            <w:vMerge/>
            <w:vAlign w:val="center"/>
          </w:tcPr>
          <w:p w:rsidR="00456BCD" w:rsidRPr="00456BCD" w:rsidRDefault="00456BCD" w:rsidP="00456BCD">
            <w:pPr>
              <w:widowControl/>
              <w:jc w:val="left"/>
              <w:rPr>
                <w:rFonts w:ascii="黑体" w:eastAsia="黑体" w:hAnsi="宋体" w:cs="宋体"/>
                <w:color w:val="000000"/>
                <w:kern w:val="0"/>
                <w:sz w:val="22"/>
              </w:rPr>
            </w:pPr>
          </w:p>
        </w:tc>
        <w:tc>
          <w:tcPr>
            <w:tcW w:w="1440" w:type="dxa"/>
            <w:vMerge/>
            <w:vAlign w:val="center"/>
          </w:tcPr>
          <w:p w:rsidR="00456BCD" w:rsidRPr="00456BCD" w:rsidRDefault="00456BCD" w:rsidP="00456BCD">
            <w:pPr>
              <w:widowControl/>
              <w:jc w:val="left"/>
              <w:rPr>
                <w:rFonts w:ascii="黑体" w:eastAsia="黑体" w:hAnsi="宋体" w:cs="宋体"/>
                <w:kern w:val="0"/>
                <w:sz w:val="22"/>
              </w:rPr>
            </w:pPr>
          </w:p>
        </w:tc>
        <w:tc>
          <w:tcPr>
            <w:tcW w:w="540" w:type="dxa"/>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全社会</w:t>
            </w:r>
          </w:p>
        </w:tc>
        <w:tc>
          <w:tcPr>
            <w:tcW w:w="720" w:type="dxa"/>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特定群众</w:t>
            </w:r>
          </w:p>
        </w:tc>
        <w:tc>
          <w:tcPr>
            <w:tcW w:w="596" w:type="dxa"/>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主动</w:t>
            </w:r>
          </w:p>
        </w:tc>
        <w:tc>
          <w:tcPr>
            <w:tcW w:w="664" w:type="dxa"/>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依申请公开</w:t>
            </w:r>
          </w:p>
        </w:tc>
        <w:tc>
          <w:tcPr>
            <w:tcW w:w="540" w:type="dxa"/>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县级</w:t>
            </w:r>
          </w:p>
        </w:tc>
        <w:tc>
          <w:tcPr>
            <w:tcW w:w="720" w:type="dxa"/>
            <w:shd w:val="clear" w:color="auto" w:fill="auto"/>
            <w:vAlign w:val="center"/>
          </w:tcPr>
          <w:p w:rsidR="00456BCD" w:rsidRPr="00456BCD" w:rsidRDefault="00456BCD" w:rsidP="00456BCD">
            <w:pPr>
              <w:widowControl/>
              <w:jc w:val="center"/>
              <w:rPr>
                <w:rFonts w:ascii="黑体" w:eastAsia="黑体" w:hAnsi="宋体" w:cs="宋体"/>
                <w:color w:val="000000"/>
                <w:kern w:val="0"/>
                <w:sz w:val="22"/>
              </w:rPr>
            </w:pPr>
            <w:r w:rsidRPr="00456BCD">
              <w:rPr>
                <w:rFonts w:ascii="黑体" w:eastAsia="黑体" w:hAnsi="宋体" w:cs="宋体" w:hint="eastAsia"/>
                <w:color w:val="000000"/>
                <w:kern w:val="0"/>
                <w:sz w:val="22"/>
              </w:rPr>
              <w:t>乡、村级</w:t>
            </w:r>
          </w:p>
        </w:tc>
      </w:tr>
      <w:tr w:rsidR="00456BCD" w:rsidRPr="00456BCD" w:rsidTr="00C77B87">
        <w:trPr>
          <w:cantSplit/>
          <w:trHeight w:val="1531"/>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w:t>
            </w:r>
          </w:p>
        </w:tc>
        <w:tc>
          <w:tcPr>
            <w:tcW w:w="720" w:type="dxa"/>
            <w:vMerge w:val="restart"/>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房地产管理</w:t>
            </w: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不符合预售条件预售商品房</w:t>
            </w:r>
          </w:p>
        </w:tc>
        <w:tc>
          <w:tcPr>
            <w:tcW w:w="1980" w:type="dxa"/>
            <w:vMerge w:val="restart"/>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1.机构职能、权责清单、执法人员名单；</w:t>
            </w:r>
            <w:r w:rsidRPr="00456BCD">
              <w:rPr>
                <w:rFonts w:ascii="仿宋_GB2312" w:eastAsia="仿宋_GB2312" w:hAnsi="Calibri" w:cs="Times New Roman" w:hint="eastAsia"/>
                <w:sz w:val="18"/>
                <w:szCs w:val="18"/>
              </w:rPr>
              <w:br/>
              <w:t>2.执法程序或行政强制流程图；</w:t>
            </w:r>
            <w:r w:rsidRPr="00456BCD">
              <w:rPr>
                <w:rFonts w:ascii="仿宋_GB2312" w:eastAsia="仿宋_GB2312" w:hAnsi="Calibri" w:cs="Times New Roman" w:hint="eastAsia"/>
                <w:sz w:val="18"/>
                <w:szCs w:val="18"/>
              </w:rPr>
              <w:br/>
              <w:t>3.执法依据；</w:t>
            </w:r>
            <w:r w:rsidRPr="00456BCD">
              <w:rPr>
                <w:rFonts w:ascii="仿宋_GB2312" w:eastAsia="仿宋_GB2312" w:hAnsi="Calibri" w:cs="Times New Roman" w:hint="eastAsia"/>
                <w:sz w:val="18"/>
                <w:szCs w:val="18"/>
              </w:rPr>
              <w:br/>
              <w:t>4.行政处罚自由裁量基准；</w:t>
            </w:r>
            <w:r w:rsidRPr="00456BCD">
              <w:rPr>
                <w:rFonts w:ascii="仿宋_GB2312" w:eastAsia="仿宋_GB2312" w:hAnsi="Calibri" w:cs="Times New Roman" w:hint="eastAsia"/>
                <w:sz w:val="18"/>
                <w:szCs w:val="18"/>
              </w:rPr>
              <w:br/>
              <w:t>5.咨询、监督投诉方式；</w:t>
            </w:r>
            <w:r w:rsidRPr="00456BCD">
              <w:rPr>
                <w:rFonts w:ascii="仿宋_GB2312" w:eastAsia="仿宋_GB2312" w:hAnsi="Calibri" w:cs="Times New Roman" w:hint="eastAsia"/>
                <w:sz w:val="18"/>
                <w:szCs w:val="18"/>
              </w:rPr>
              <w:br/>
              <w:t>6.处罚决定；</w:t>
            </w:r>
            <w:r w:rsidRPr="00456BCD">
              <w:rPr>
                <w:rFonts w:ascii="仿宋_GB2312" w:eastAsia="仿宋_GB2312" w:hAnsi="Calibri" w:cs="Times New Roman" w:hint="eastAsia"/>
                <w:sz w:val="18"/>
                <w:szCs w:val="18"/>
              </w:rPr>
              <w:br/>
              <w:t>7.救济渠道。</w:t>
            </w: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《城市房地产管理法》  </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Merge w:val="restart"/>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1707"/>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2</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未取得资质等级证书或者超越资质等级从事房地产开发经营</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《城市房地产开发经营管理条例》</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Merge/>
            <w:vAlign w:val="center"/>
          </w:tcPr>
          <w:p w:rsidR="00456BCD" w:rsidRPr="00456BCD" w:rsidRDefault="00456BCD" w:rsidP="00456BCD">
            <w:pPr>
              <w:rPr>
                <w:rFonts w:ascii="仿宋_GB2312" w:eastAsia="仿宋_GB2312" w:hAnsi="宋体" w:cs="宋体" w:hint="eastAsia"/>
                <w:sz w:val="18"/>
                <w:szCs w:val="18"/>
              </w:rPr>
            </w:pP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1696"/>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3</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擅自预售商品房</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《城市房地产开发经营管理条例》、《商品房销售管理办法》</w:t>
            </w:r>
            <w:r w:rsidRPr="00456BCD">
              <w:rPr>
                <w:rFonts w:ascii="仿宋_GB2312" w:eastAsia="仿宋_GB2312" w:hAnsi="Calibri" w:cs="Times New Roman" w:hint="eastAsia"/>
                <w:sz w:val="18"/>
                <w:szCs w:val="18"/>
              </w:rPr>
              <w:br w:type="page"/>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w:t>
            </w:r>
            <w:r w:rsidRPr="00456BCD">
              <w:rPr>
                <w:rFonts w:ascii="仿宋_GB2312" w:eastAsia="仿宋_GB2312" w:hAnsi="Calibri" w:cs="Times New Roman" w:hint="eastAsia"/>
                <w:sz w:val="18"/>
                <w:szCs w:val="18"/>
              </w:rPr>
              <w:br w:type="page"/>
              <w:t>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Merge/>
            <w:vAlign w:val="center"/>
          </w:tcPr>
          <w:p w:rsidR="00456BCD" w:rsidRPr="00456BCD" w:rsidRDefault="00456BCD" w:rsidP="00456BCD">
            <w:pPr>
              <w:rPr>
                <w:rFonts w:ascii="仿宋_GB2312" w:eastAsia="仿宋_GB2312" w:hAnsi="宋体" w:cs="宋体" w:hint="eastAsia"/>
                <w:sz w:val="18"/>
                <w:szCs w:val="18"/>
              </w:rPr>
            </w:pP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1868"/>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lastRenderedPageBreak/>
              <w:t>4</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房产测绘单位在房产面积测算中不执行国家标准、规范和规定</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Merge/>
            <w:vAlign w:val="center"/>
          </w:tcPr>
          <w:p w:rsidR="00456BCD" w:rsidRPr="00456BCD" w:rsidRDefault="00456BCD" w:rsidP="00456BCD">
            <w:pPr>
              <w:rPr>
                <w:rFonts w:ascii="仿宋_GB2312" w:eastAsia="仿宋_GB2312" w:hAnsi="宋体" w:cs="宋体" w:hint="eastAsia"/>
                <w:sz w:val="18"/>
                <w:szCs w:val="18"/>
              </w:rPr>
            </w:pP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1232"/>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5</w:t>
            </w:r>
          </w:p>
        </w:tc>
        <w:tc>
          <w:tcPr>
            <w:tcW w:w="720" w:type="dxa"/>
            <w:vMerge w:val="restart"/>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房地产管理</w:t>
            </w: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房产测绘单位在房产面积测算中弄虚作假、欺骗房屋权利人</w:t>
            </w:r>
          </w:p>
        </w:tc>
        <w:tc>
          <w:tcPr>
            <w:tcW w:w="1980" w:type="dxa"/>
            <w:vMerge w:val="restart"/>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1.机构职能、权责清单、执法人员名单；</w:t>
            </w:r>
            <w:r w:rsidRPr="00456BCD">
              <w:rPr>
                <w:rFonts w:ascii="仿宋_GB2312" w:eastAsia="仿宋_GB2312" w:hAnsi="Calibri" w:cs="Times New Roman" w:hint="eastAsia"/>
                <w:sz w:val="18"/>
                <w:szCs w:val="18"/>
              </w:rPr>
              <w:br/>
              <w:t>2.执法程序或行政强制流程图；</w:t>
            </w:r>
            <w:r w:rsidRPr="00456BCD">
              <w:rPr>
                <w:rFonts w:ascii="仿宋_GB2312" w:eastAsia="仿宋_GB2312" w:hAnsi="Calibri" w:cs="Times New Roman" w:hint="eastAsia"/>
                <w:sz w:val="18"/>
                <w:szCs w:val="18"/>
              </w:rPr>
              <w:br/>
              <w:t>3.执法依据；</w:t>
            </w:r>
            <w:r w:rsidRPr="00456BCD">
              <w:rPr>
                <w:rFonts w:ascii="仿宋_GB2312" w:eastAsia="仿宋_GB2312" w:hAnsi="Calibri" w:cs="Times New Roman" w:hint="eastAsia"/>
                <w:sz w:val="18"/>
                <w:szCs w:val="18"/>
              </w:rPr>
              <w:br/>
              <w:t>4.行政处罚自由裁量基准；</w:t>
            </w:r>
            <w:r w:rsidRPr="00456BCD">
              <w:rPr>
                <w:rFonts w:ascii="仿宋_GB2312" w:eastAsia="仿宋_GB2312" w:hAnsi="Calibri" w:cs="Times New Roman" w:hint="eastAsia"/>
                <w:sz w:val="18"/>
                <w:szCs w:val="18"/>
              </w:rPr>
              <w:br/>
              <w:t>5.咨询、监督投诉方式；</w:t>
            </w:r>
            <w:r w:rsidRPr="00456BCD">
              <w:rPr>
                <w:rFonts w:ascii="仿宋_GB2312" w:eastAsia="仿宋_GB2312" w:hAnsi="Calibri" w:cs="Times New Roman" w:hint="eastAsia"/>
                <w:sz w:val="18"/>
                <w:szCs w:val="18"/>
              </w:rPr>
              <w:br/>
              <w:t>6.处罚决定；</w:t>
            </w:r>
            <w:r w:rsidRPr="00456BCD">
              <w:rPr>
                <w:rFonts w:ascii="仿宋_GB2312" w:eastAsia="仿宋_GB2312" w:hAnsi="Calibri" w:cs="Times New Roman" w:hint="eastAsia"/>
                <w:sz w:val="18"/>
                <w:szCs w:val="18"/>
              </w:rPr>
              <w:br/>
              <w:t>7.救济渠道。</w:t>
            </w: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1375"/>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6</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房产测绘单位房产面积测算失误，造成重大损失</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1380"/>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7</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房地产经纪人员以个人名义承接房地产经纪业务和收取费用</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1411"/>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7</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房地产经纪人员以个人名义承接房地产经纪业务和收取费用</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2634"/>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lastRenderedPageBreak/>
              <w:t>8</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房地产经纪机构提供代办贷款、代办房地产登记等其他服务，未向委托人说明服务内容、收费标准等情况，并未经委托人同意</w:t>
            </w:r>
          </w:p>
        </w:tc>
        <w:tc>
          <w:tcPr>
            <w:tcW w:w="1980" w:type="dxa"/>
            <w:vMerge/>
            <w:vAlign w:val="center"/>
          </w:tcPr>
          <w:p w:rsidR="00456BCD" w:rsidRPr="00456BCD" w:rsidRDefault="00456BCD" w:rsidP="00456BCD">
            <w:pPr>
              <w:rPr>
                <w:rFonts w:ascii="仿宋_GB2312" w:eastAsia="仿宋_GB2312" w:hAnsi="宋体" w:cs="宋体" w:hint="eastAsia"/>
                <w:color w:val="000000"/>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2166"/>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9</w:t>
            </w:r>
          </w:p>
        </w:tc>
        <w:tc>
          <w:tcPr>
            <w:tcW w:w="720" w:type="dxa"/>
            <w:vMerge w:val="restart"/>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房地产管理</w:t>
            </w: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房地产经纪服务合同未由从事该业务的一名房地产经纪人或者两名房地产经纪人协理签名</w:t>
            </w:r>
          </w:p>
        </w:tc>
        <w:tc>
          <w:tcPr>
            <w:tcW w:w="1980" w:type="dxa"/>
            <w:vMerge w:val="restart"/>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1.机构职能、权责清单、执法人员名单；</w:t>
            </w:r>
            <w:r w:rsidRPr="00456BCD">
              <w:rPr>
                <w:rFonts w:ascii="仿宋_GB2312" w:eastAsia="仿宋_GB2312" w:hAnsi="Calibri" w:cs="Times New Roman" w:hint="eastAsia"/>
                <w:sz w:val="18"/>
                <w:szCs w:val="18"/>
              </w:rPr>
              <w:br/>
              <w:t>2.执法程序或行政强制流程图；</w:t>
            </w:r>
            <w:r w:rsidRPr="00456BCD">
              <w:rPr>
                <w:rFonts w:ascii="仿宋_GB2312" w:eastAsia="仿宋_GB2312" w:hAnsi="Calibri" w:cs="Times New Roman" w:hint="eastAsia"/>
                <w:sz w:val="18"/>
                <w:szCs w:val="18"/>
              </w:rPr>
              <w:br/>
              <w:t>3.执法依据；</w:t>
            </w:r>
            <w:r w:rsidRPr="00456BCD">
              <w:rPr>
                <w:rFonts w:ascii="仿宋_GB2312" w:eastAsia="仿宋_GB2312" w:hAnsi="Calibri" w:cs="Times New Roman" w:hint="eastAsia"/>
                <w:sz w:val="18"/>
                <w:szCs w:val="18"/>
              </w:rPr>
              <w:br/>
              <w:t>4.行政处罚自由裁量基准；</w:t>
            </w:r>
            <w:r w:rsidRPr="00456BCD">
              <w:rPr>
                <w:rFonts w:ascii="仿宋_GB2312" w:eastAsia="仿宋_GB2312" w:hAnsi="Calibri" w:cs="Times New Roman" w:hint="eastAsia"/>
                <w:sz w:val="18"/>
                <w:szCs w:val="18"/>
              </w:rPr>
              <w:br/>
              <w:t>5.咨询、监督投诉方式；</w:t>
            </w:r>
            <w:r w:rsidRPr="00456BCD">
              <w:rPr>
                <w:rFonts w:ascii="仿宋_GB2312" w:eastAsia="仿宋_GB2312" w:hAnsi="Calibri" w:cs="Times New Roman" w:hint="eastAsia"/>
                <w:sz w:val="18"/>
                <w:szCs w:val="18"/>
              </w:rPr>
              <w:br/>
              <w:t>6.处罚决定；</w:t>
            </w:r>
            <w:r w:rsidRPr="00456BCD">
              <w:rPr>
                <w:rFonts w:ascii="仿宋_GB2312" w:eastAsia="仿宋_GB2312" w:hAnsi="Calibri" w:cs="Times New Roman" w:hint="eastAsia"/>
                <w:sz w:val="18"/>
                <w:szCs w:val="18"/>
              </w:rPr>
              <w:br/>
              <w:t>7.救济渠道。</w:t>
            </w: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2180"/>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10</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房地产经纪机构签订房地产经纪服务合同前，不向交易当事人说明和书面告知规定事项</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2011"/>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lastRenderedPageBreak/>
              <w:t>11</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房地产经纪机构未按照规定如实记录业务情况或者保存房地产经纪服务合同</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1657"/>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12</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房地产经纪机构擅自对外发布房源信息</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1231"/>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13</w:t>
            </w:r>
          </w:p>
        </w:tc>
        <w:tc>
          <w:tcPr>
            <w:tcW w:w="720" w:type="dxa"/>
            <w:vMerge w:val="restart"/>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房地产管理</w:t>
            </w: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房地产经纪机构擅自划转客户交易结算资金</w:t>
            </w:r>
          </w:p>
        </w:tc>
        <w:tc>
          <w:tcPr>
            <w:tcW w:w="1980" w:type="dxa"/>
            <w:vMerge w:val="restart"/>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1.机构职能、权责清单、执法人员名单；</w:t>
            </w:r>
            <w:r w:rsidRPr="00456BCD">
              <w:rPr>
                <w:rFonts w:ascii="仿宋_GB2312" w:eastAsia="仿宋_GB2312" w:hAnsi="Calibri" w:cs="Times New Roman" w:hint="eastAsia"/>
                <w:sz w:val="18"/>
                <w:szCs w:val="18"/>
              </w:rPr>
              <w:br/>
              <w:t>2.执法程序或行政强制流程图；</w:t>
            </w:r>
            <w:r w:rsidRPr="00456BCD">
              <w:rPr>
                <w:rFonts w:ascii="仿宋_GB2312" w:eastAsia="仿宋_GB2312" w:hAnsi="Calibri" w:cs="Times New Roman" w:hint="eastAsia"/>
                <w:sz w:val="18"/>
                <w:szCs w:val="18"/>
              </w:rPr>
              <w:br/>
              <w:t>3.执法依据；</w:t>
            </w:r>
            <w:r w:rsidRPr="00456BCD">
              <w:rPr>
                <w:rFonts w:ascii="仿宋_GB2312" w:eastAsia="仿宋_GB2312" w:hAnsi="Calibri" w:cs="Times New Roman" w:hint="eastAsia"/>
                <w:sz w:val="18"/>
                <w:szCs w:val="18"/>
              </w:rPr>
              <w:br/>
              <w:t>4.行政处罚自由裁量基准；</w:t>
            </w:r>
            <w:r w:rsidRPr="00456BCD">
              <w:rPr>
                <w:rFonts w:ascii="仿宋_GB2312" w:eastAsia="仿宋_GB2312" w:hAnsi="Calibri" w:cs="Times New Roman" w:hint="eastAsia"/>
                <w:sz w:val="18"/>
                <w:szCs w:val="18"/>
              </w:rPr>
              <w:br/>
              <w:t>5.咨询、监督投诉方式；</w:t>
            </w:r>
            <w:r w:rsidRPr="00456BCD">
              <w:rPr>
                <w:rFonts w:ascii="仿宋_GB2312" w:eastAsia="仿宋_GB2312" w:hAnsi="Calibri" w:cs="Times New Roman" w:hint="eastAsia"/>
                <w:sz w:val="18"/>
                <w:szCs w:val="18"/>
              </w:rPr>
              <w:br/>
              <w:t>6.处罚决定；</w:t>
            </w:r>
            <w:r w:rsidRPr="00456BCD">
              <w:rPr>
                <w:rFonts w:ascii="仿宋_GB2312" w:eastAsia="仿宋_GB2312" w:hAnsi="Calibri" w:cs="Times New Roman" w:hint="eastAsia"/>
                <w:sz w:val="18"/>
                <w:szCs w:val="18"/>
              </w:rPr>
              <w:br/>
              <w:t>7.救济渠道。</w:t>
            </w: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1657"/>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14</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房地产经纪机构和房地产经纪人员以隐瞒、欺诈、胁迫、贿赂等不正当手段招揽业务，诱骗消费者交易或者强制交易</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2126"/>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lastRenderedPageBreak/>
              <w:t>15</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房地产经纪机构和房地产经纪人员泄露或者不当使用委托人的个人信息或者商业秘密，谋取不正当利益</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r w:rsidR="00456BCD" w:rsidRPr="00456BCD" w:rsidTr="00C77B87">
        <w:trPr>
          <w:cantSplit/>
          <w:trHeight w:val="2506"/>
        </w:trPr>
        <w:tc>
          <w:tcPr>
            <w:tcW w:w="540" w:type="dxa"/>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16</w:t>
            </w:r>
          </w:p>
        </w:tc>
        <w:tc>
          <w:tcPr>
            <w:tcW w:w="720" w:type="dxa"/>
            <w:vMerge/>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p>
        </w:tc>
        <w:tc>
          <w:tcPr>
            <w:tcW w:w="1800" w:type="dxa"/>
            <w:shd w:val="clear" w:color="auto" w:fill="auto"/>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为交易当事人规避房屋交易税费等非法目的，房地产经纪机构和房地产经纪人员就同一房屋签订不同交易价款的合同提供便利</w:t>
            </w:r>
          </w:p>
        </w:tc>
        <w:tc>
          <w:tcPr>
            <w:tcW w:w="1980" w:type="dxa"/>
            <w:vMerge/>
            <w:vAlign w:val="center"/>
          </w:tcPr>
          <w:p w:rsidR="00456BCD" w:rsidRPr="00456BCD" w:rsidRDefault="00456BCD" w:rsidP="00456BCD">
            <w:pPr>
              <w:rPr>
                <w:rFonts w:ascii="仿宋_GB2312" w:eastAsia="仿宋_GB2312" w:hAnsi="宋体" w:cs="宋体" w:hint="eastAsia"/>
                <w:sz w:val="18"/>
                <w:szCs w:val="18"/>
              </w:rPr>
            </w:pPr>
          </w:p>
        </w:tc>
        <w:tc>
          <w:tcPr>
            <w:tcW w:w="162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《房产测绘管理办法》</w:t>
            </w:r>
          </w:p>
        </w:tc>
        <w:tc>
          <w:tcPr>
            <w:tcW w:w="216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1.除处罚决定外其他内容：长期公开（动态调整）；2.处罚决定：20个工作日内。</w:t>
            </w:r>
          </w:p>
        </w:tc>
        <w:tc>
          <w:tcPr>
            <w:tcW w:w="1440" w:type="dxa"/>
            <w:vAlign w:val="center"/>
          </w:tcPr>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相关行政主管部门</w:t>
            </w:r>
          </w:p>
        </w:tc>
        <w:tc>
          <w:tcPr>
            <w:tcW w:w="1440" w:type="dxa"/>
            <w:vAlign w:val="center"/>
          </w:tcPr>
          <w:p w:rsidR="00456BCD" w:rsidRPr="00456BCD" w:rsidRDefault="00456BCD" w:rsidP="00456BCD">
            <w:pPr>
              <w:rPr>
                <w:rFonts w:ascii="仿宋_GB2312" w:eastAsia="仿宋_GB2312" w:hAnsi="Calibri" w:cs="Times New Roman" w:hint="eastAsia"/>
                <w:sz w:val="18"/>
                <w:szCs w:val="18"/>
              </w:rPr>
            </w:pPr>
            <w:r w:rsidRPr="00456BCD">
              <w:rPr>
                <w:rFonts w:ascii="仿宋_GB2312" w:eastAsia="仿宋_GB2312" w:hAnsi="Calibri" w:cs="Times New Roman" w:hint="eastAsia"/>
                <w:sz w:val="18"/>
                <w:szCs w:val="18"/>
              </w:rPr>
              <w:t>■政府网站</w:t>
            </w:r>
          </w:p>
          <w:p w:rsidR="00456BCD" w:rsidRPr="00456BCD" w:rsidRDefault="00456BCD" w:rsidP="00456BCD">
            <w:pP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■公开查阅点</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96"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664" w:type="dxa"/>
            <w:shd w:val="clear" w:color="auto" w:fill="auto"/>
            <w:vAlign w:val="center"/>
          </w:tcPr>
          <w:p w:rsidR="00456BCD" w:rsidRPr="00456BCD" w:rsidRDefault="00456BCD" w:rsidP="00456BCD">
            <w:pPr>
              <w:jc w:val="center"/>
              <w:rPr>
                <w:rFonts w:ascii="仿宋_GB2312" w:eastAsia="仿宋_GB2312" w:hAnsi="宋体" w:cs="宋体" w:hint="eastAsia"/>
                <w:sz w:val="18"/>
                <w:szCs w:val="18"/>
              </w:rPr>
            </w:pPr>
            <w:r w:rsidRPr="00456BCD">
              <w:rPr>
                <w:rFonts w:ascii="仿宋_GB2312" w:eastAsia="仿宋_GB2312" w:hAnsi="Calibri" w:cs="Times New Roman" w:hint="eastAsia"/>
                <w:sz w:val="18"/>
                <w:szCs w:val="18"/>
              </w:rPr>
              <w:t xml:space="preserve">　</w:t>
            </w:r>
          </w:p>
        </w:tc>
        <w:tc>
          <w:tcPr>
            <w:tcW w:w="54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c>
          <w:tcPr>
            <w:tcW w:w="720" w:type="dxa"/>
            <w:shd w:val="clear" w:color="auto" w:fill="auto"/>
            <w:vAlign w:val="center"/>
          </w:tcPr>
          <w:p w:rsidR="00456BCD" w:rsidRPr="00456BCD" w:rsidRDefault="00456BCD" w:rsidP="00456BCD">
            <w:pPr>
              <w:jc w:val="center"/>
              <w:rPr>
                <w:rFonts w:ascii="仿宋_GB2312" w:eastAsia="仿宋_GB2312" w:hAnsi="Arial" w:cs="Arial" w:hint="eastAsia"/>
                <w:sz w:val="18"/>
                <w:szCs w:val="18"/>
              </w:rPr>
            </w:pPr>
            <w:r w:rsidRPr="00456BCD">
              <w:rPr>
                <w:rFonts w:ascii="仿宋_GB2312" w:eastAsia="仿宋_GB2312" w:hAnsi="Arial" w:cs="Arial" w:hint="eastAsia"/>
                <w:sz w:val="18"/>
                <w:szCs w:val="18"/>
              </w:rPr>
              <w:t>√</w:t>
            </w:r>
          </w:p>
        </w:tc>
      </w:tr>
    </w:tbl>
    <w:p w:rsidR="00456BCD" w:rsidRPr="00456BCD" w:rsidRDefault="00456BCD" w:rsidP="00456BCD"/>
    <w:sectPr w:rsidR="00456BCD" w:rsidRPr="00456BCD"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8B902"/>
    <w:multiLevelType w:val="multilevel"/>
    <w:tmpl w:val="9288B902"/>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
    <w:nsid w:val="B5E306ED"/>
    <w:multiLevelType w:val="multilevel"/>
    <w:tmpl w:val="B5E306ED"/>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
    <w:nsid w:val="BF205925"/>
    <w:multiLevelType w:val="multilevel"/>
    <w:tmpl w:val="BF205925"/>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3">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9">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248C179"/>
    <w:multiLevelType w:val="multilevel"/>
    <w:tmpl w:val="0248C1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7">
    <w:nsid w:val="25B654F3"/>
    <w:multiLevelType w:val="multilevel"/>
    <w:tmpl w:val="25B654F3"/>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8">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C91F3A3"/>
    <w:multiLevelType w:val="singleLevel"/>
    <w:tmpl w:val="5C91F3A3"/>
    <w:lvl w:ilvl="0">
      <w:start w:val="1"/>
      <w:numFmt w:val="decimal"/>
      <w:suff w:val="space"/>
      <w:lvlText w:val="%1."/>
      <w:lvlJc w:val="left"/>
    </w:lvl>
  </w:abstractNum>
  <w:abstractNum w:abstractNumId="2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abstractNum w:abstractNumId="21">
    <w:nsid w:val="5FCDDD2E"/>
    <w:multiLevelType w:val="multilevel"/>
    <w:tmpl w:val="5FCDDD2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34" w:hanging="181"/>
      </w:pPr>
      <w:rPr>
        <w:rFonts w:hint="default"/>
        <w:lang w:val="zh-CN" w:eastAsia="zh-CN" w:bidi="zh-CN"/>
      </w:rPr>
    </w:lvl>
    <w:lvl w:ilvl="2">
      <w:numFmt w:val="bullet"/>
      <w:lvlText w:val="•"/>
      <w:lvlJc w:val="left"/>
      <w:pPr>
        <w:ind w:left="568" w:hanging="181"/>
      </w:pPr>
      <w:rPr>
        <w:rFonts w:hint="default"/>
        <w:lang w:val="zh-CN" w:eastAsia="zh-CN" w:bidi="zh-CN"/>
      </w:rPr>
    </w:lvl>
    <w:lvl w:ilvl="3">
      <w:numFmt w:val="bullet"/>
      <w:lvlText w:val="•"/>
      <w:lvlJc w:val="left"/>
      <w:pPr>
        <w:ind w:left="702" w:hanging="181"/>
      </w:pPr>
      <w:rPr>
        <w:rFonts w:hint="default"/>
        <w:lang w:val="zh-CN" w:eastAsia="zh-CN" w:bidi="zh-CN"/>
      </w:rPr>
    </w:lvl>
    <w:lvl w:ilvl="4">
      <w:numFmt w:val="bullet"/>
      <w:lvlText w:val="•"/>
      <w:lvlJc w:val="left"/>
      <w:pPr>
        <w:ind w:left="836" w:hanging="181"/>
      </w:pPr>
      <w:rPr>
        <w:rFonts w:hint="default"/>
        <w:lang w:val="zh-CN" w:eastAsia="zh-CN" w:bidi="zh-CN"/>
      </w:rPr>
    </w:lvl>
    <w:lvl w:ilvl="5">
      <w:numFmt w:val="bullet"/>
      <w:lvlText w:val="•"/>
      <w:lvlJc w:val="left"/>
      <w:pPr>
        <w:ind w:left="970" w:hanging="181"/>
      </w:pPr>
      <w:rPr>
        <w:rFonts w:hint="default"/>
        <w:lang w:val="zh-CN" w:eastAsia="zh-CN" w:bidi="zh-CN"/>
      </w:rPr>
    </w:lvl>
    <w:lvl w:ilvl="6">
      <w:numFmt w:val="bullet"/>
      <w:lvlText w:val="•"/>
      <w:lvlJc w:val="left"/>
      <w:pPr>
        <w:ind w:left="1104" w:hanging="181"/>
      </w:pPr>
      <w:rPr>
        <w:rFonts w:hint="default"/>
        <w:lang w:val="zh-CN" w:eastAsia="zh-CN" w:bidi="zh-CN"/>
      </w:rPr>
    </w:lvl>
    <w:lvl w:ilvl="7">
      <w:numFmt w:val="bullet"/>
      <w:lvlText w:val="•"/>
      <w:lvlJc w:val="left"/>
      <w:pPr>
        <w:ind w:left="1238" w:hanging="181"/>
      </w:pPr>
      <w:rPr>
        <w:rFonts w:hint="default"/>
        <w:lang w:val="zh-CN" w:eastAsia="zh-CN" w:bidi="zh-CN"/>
      </w:rPr>
    </w:lvl>
    <w:lvl w:ilvl="8">
      <w:numFmt w:val="bullet"/>
      <w:lvlText w:val="•"/>
      <w:lvlJc w:val="left"/>
      <w:pPr>
        <w:ind w:left="1372" w:hanging="181"/>
      </w:pPr>
      <w:rPr>
        <w:rFonts w:hint="default"/>
        <w:lang w:val="zh-CN" w:eastAsia="zh-CN" w:bidi="zh-CN"/>
      </w:rPr>
    </w:lvl>
  </w:abstractNum>
  <w:abstractNum w:abstractNumId="22">
    <w:nsid w:val="72183CF9"/>
    <w:multiLevelType w:val="multilevel"/>
    <w:tmpl w:val="72183CF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3">
    <w:nsid w:val="77ECEA79"/>
    <w:multiLevelType w:val="multilevel"/>
    <w:tmpl w:val="77ECEA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num w:numId="1">
    <w:abstractNumId w:val="19"/>
  </w:num>
  <w:num w:numId="2">
    <w:abstractNumId w:val="15"/>
  </w:num>
  <w:num w:numId="3">
    <w:abstractNumId w:val="11"/>
  </w:num>
  <w:num w:numId="4">
    <w:abstractNumId w:val="3"/>
  </w:num>
  <w:num w:numId="5">
    <w:abstractNumId w:val="14"/>
  </w:num>
  <w:num w:numId="6">
    <w:abstractNumId w:val="10"/>
  </w:num>
  <w:num w:numId="7">
    <w:abstractNumId w:val="4"/>
  </w:num>
  <w:num w:numId="8">
    <w:abstractNumId w:val="12"/>
  </w:num>
  <w:num w:numId="9">
    <w:abstractNumId w:val="13"/>
  </w:num>
  <w:num w:numId="10">
    <w:abstractNumId w:val="9"/>
  </w:num>
  <w:num w:numId="11">
    <w:abstractNumId w:val="5"/>
  </w:num>
  <w:num w:numId="12">
    <w:abstractNumId w:val="7"/>
  </w:num>
  <w:num w:numId="13">
    <w:abstractNumId w:val="8"/>
  </w:num>
  <w:num w:numId="14">
    <w:abstractNumId w:val="6"/>
  </w:num>
  <w:num w:numId="15">
    <w:abstractNumId w:val="20"/>
  </w:num>
  <w:num w:numId="16">
    <w:abstractNumId w:val="18"/>
  </w:num>
  <w:num w:numId="17">
    <w:abstractNumId w:val="2"/>
  </w:num>
  <w:num w:numId="18">
    <w:abstractNumId w:val="1"/>
  </w:num>
  <w:num w:numId="19">
    <w:abstractNumId w:val="17"/>
  </w:num>
  <w:num w:numId="20">
    <w:abstractNumId w:val="22"/>
  </w:num>
  <w:num w:numId="21">
    <w:abstractNumId w:val="16"/>
  </w:num>
  <w:num w:numId="22">
    <w:abstractNumId w:val="23"/>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16A3B"/>
    <w:rsid w:val="000C3F26"/>
    <w:rsid w:val="001A573F"/>
    <w:rsid w:val="002C15F4"/>
    <w:rsid w:val="003665CA"/>
    <w:rsid w:val="00451B54"/>
    <w:rsid w:val="00456BCD"/>
    <w:rsid w:val="006E0945"/>
    <w:rsid w:val="007F16E5"/>
    <w:rsid w:val="009E2F9E"/>
    <w:rsid w:val="00A70431"/>
    <w:rsid w:val="00C27404"/>
    <w:rsid w:val="00DA092D"/>
    <w:rsid w:val="00DE4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 w:type="numbering" w:customStyle="1" w:styleId="10">
    <w:name w:val="无列表1"/>
    <w:next w:val="a2"/>
    <w:uiPriority w:val="99"/>
    <w:semiHidden/>
    <w:rsid w:val="00016A3B"/>
  </w:style>
  <w:style w:type="table" w:styleId="a3">
    <w:name w:val="Table Grid"/>
    <w:basedOn w:val="a1"/>
    <w:qFormat/>
    <w:rsid w:val="00016A3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016A3B"/>
    <w:rPr>
      <w:color w:val="0000FF"/>
      <w:u w:val="single"/>
    </w:rPr>
  </w:style>
  <w:style w:type="paragraph" w:styleId="a5">
    <w:name w:val="List Paragraph"/>
    <w:basedOn w:val="a"/>
    <w:qFormat/>
    <w:rsid w:val="00016A3B"/>
    <w:pPr>
      <w:ind w:firstLineChars="200" w:firstLine="420"/>
    </w:pPr>
    <w:rPr>
      <w:rFonts w:ascii="等线" w:eastAsia="等线" w:hAnsi="等线" w:cs="Times New Roman"/>
    </w:rPr>
  </w:style>
  <w:style w:type="character" w:styleId="a6">
    <w:name w:val="annotation reference"/>
    <w:basedOn w:val="a0"/>
    <w:semiHidden/>
    <w:rsid w:val="00016A3B"/>
    <w:rPr>
      <w:sz w:val="21"/>
      <w:szCs w:val="21"/>
    </w:rPr>
  </w:style>
  <w:style w:type="paragraph" w:styleId="a7">
    <w:name w:val="annotation text"/>
    <w:basedOn w:val="a"/>
    <w:link w:val="Char"/>
    <w:semiHidden/>
    <w:rsid w:val="00016A3B"/>
    <w:pPr>
      <w:jc w:val="left"/>
    </w:pPr>
    <w:rPr>
      <w:rFonts w:ascii="Calibri" w:eastAsia="宋体" w:hAnsi="Calibri" w:cs="Times New Roman"/>
    </w:rPr>
  </w:style>
  <w:style w:type="character" w:customStyle="1" w:styleId="Char">
    <w:name w:val="批注文字 Char"/>
    <w:basedOn w:val="a0"/>
    <w:link w:val="a7"/>
    <w:semiHidden/>
    <w:rsid w:val="00016A3B"/>
    <w:rPr>
      <w:rFonts w:ascii="Calibri" w:eastAsia="宋体" w:hAnsi="Calibri" w:cs="Times New Roman"/>
    </w:rPr>
  </w:style>
  <w:style w:type="paragraph" w:styleId="a8">
    <w:name w:val="annotation subject"/>
    <w:basedOn w:val="a7"/>
    <w:next w:val="a7"/>
    <w:link w:val="Char0"/>
    <w:semiHidden/>
    <w:rsid w:val="00016A3B"/>
    <w:rPr>
      <w:b/>
      <w:bCs/>
    </w:rPr>
  </w:style>
  <w:style w:type="character" w:customStyle="1" w:styleId="Char0">
    <w:name w:val="批注主题 Char"/>
    <w:basedOn w:val="Char"/>
    <w:link w:val="a8"/>
    <w:semiHidden/>
    <w:rsid w:val="00016A3B"/>
    <w:rPr>
      <w:b/>
      <w:bCs/>
    </w:rPr>
  </w:style>
  <w:style w:type="paragraph" w:styleId="a9">
    <w:name w:val="Balloon Text"/>
    <w:basedOn w:val="a"/>
    <w:link w:val="Char1"/>
    <w:semiHidden/>
    <w:rsid w:val="00016A3B"/>
    <w:rPr>
      <w:rFonts w:ascii="Calibri" w:eastAsia="宋体" w:hAnsi="Calibri" w:cs="Times New Roman"/>
      <w:sz w:val="18"/>
      <w:szCs w:val="18"/>
    </w:rPr>
  </w:style>
  <w:style w:type="character" w:customStyle="1" w:styleId="Char1">
    <w:name w:val="批注框文本 Char"/>
    <w:basedOn w:val="a0"/>
    <w:link w:val="a9"/>
    <w:semiHidden/>
    <w:rsid w:val="00016A3B"/>
    <w:rPr>
      <w:rFonts w:ascii="Calibri" w:eastAsia="宋体" w:hAnsi="Calibri" w:cs="Times New Roman"/>
      <w:sz w:val="18"/>
      <w:szCs w:val="18"/>
    </w:rPr>
  </w:style>
  <w:style w:type="paragraph" w:customStyle="1" w:styleId="11">
    <w:name w:val="列出段落1"/>
    <w:basedOn w:val="a"/>
    <w:rsid w:val="00016A3B"/>
    <w:pPr>
      <w:ind w:firstLineChars="200" w:firstLine="420"/>
    </w:pPr>
    <w:rPr>
      <w:rFonts w:ascii="Calibri" w:eastAsia="宋体" w:hAnsi="Calibri" w:cs="Times New Roman"/>
    </w:rPr>
  </w:style>
  <w:style w:type="paragraph" w:styleId="aa">
    <w:name w:val="header"/>
    <w:basedOn w:val="a"/>
    <w:link w:val="Char2"/>
    <w:rsid w:val="00016A3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a"/>
    <w:rsid w:val="00016A3B"/>
    <w:rPr>
      <w:rFonts w:ascii="Calibri" w:eastAsia="宋体" w:hAnsi="Calibri" w:cs="Times New Roman"/>
      <w:sz w:val="18"/>
      <w:szCs w:val="18"/>
    </w:rPr>
  </w:style>
  <w:style w:type="paragraph" w:styleId="ab">
    <w:name w:val="footer"/>
    <w:basedOn w:val="a"/>
    <w:link w:val="Char3"/>
    <w:rsid w:val="00016A3B"/>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b"/>
    <w:rsid w:val="00016A3B"/>
    <w:rPr>
      <w:rFonts w:ascii="Calibri" w:eastAsia="宋体" w:hAnsi="Calibri" w:cs="Times New Roman"/>
      <w:sz w:val="18"/>
      <w:szCs w:val="18"/>
    </w:rPr>
  </w:style>
  <w:style w:type="character" w:styleId="ac">
    <w:name w:val="page number"/>
    <w:basedOn w:val="a0"/>
    <w:rsid w:val="00016A3B"/>
  </w:style>
  <w:style w:type="paragraph" w:styleId="12">
    <w:name w:val="toc 1"/>
    <w:basedOn w:val="a"/>
    <w:next w:val="a"/>
    <w:autoRedefine/>
    <w:semiHidden/>
    <w:rsid w:val="00016A3B"/>
    <w:pPr>
      <w:tabs>
        <w:tab w:val="right" w:leader="dot" w:pos="14760"/>
      </w:tabs>
      <w:spacing w:line="700" w:lineRule="exact"/>
      <w:ind w:leftChars="171" w:left="359" w:rightChars="158" w:right="332"/>
    </w:pPr>
    <w:rPr>
      <w:rFonts w:ascii="Calibri" w:eastAsia="宋体" w:hAnsi="Calibri" w:cs="Times New Roman"/>
    </w:rPr>
  </w:style>
  <w:style w:type="paragraph" w:customStyle="1" w:styleId="TableParagraph">
    <w:name w:val="Table Paragraph"/>
    <w:basedOn w:val="a"/>
    <w:uiPriority w:val="1"/>
    <w:qFormat/>
    <w:rsid w:val="00016A3B"/>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12</cp:revision>
  <dcterms:created xsi:type="dcterms:W3CDTF">2021-12-06T08:09:00Z</dcterms:created>
  <dcterms:modified xsi:type="dcterms:W3CDTF">2021-12-06T08:25:00Z</dcterms:modified>
</cp:coreProperties>
</file>