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行政处罚信息公开表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986" w:tblpY="2613"/>
        <w:tblOverlap w:val="never"/>
        <w:tblW w:w="15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071"/>
        <w:gridCol w:w="1140"/>
        <w:gridCol w:w="1276"/>
        <w:gridCol w:w="1792"/>
        <w:gridCol w:w="885"/>
        <w:gridCol w:w="3570"/>
        <w:gridCol w:w="2100"/>
        <w:gridCol w:w="1365"/>
        <w:gridCol w:w="1155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行政处罚决定书文号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333333"/>
                <w:sz w:val="24"/>
              </w:rPr>
              <w:t>案件名称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违法企业名称或违法自然人姓名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违法企业组织机构代码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法定代表人姓名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主要违法事实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行政处罚的种类和依据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</w:rPr>
              <w:t>行政处罚的履行方式和期限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</w:rPr>
              <w:t>做出处罚的机关名称和日期</w:t>
            </w:r>
          </w:p>
        </w:tc>
        <w:tc>
          <w:tcPr>
            <w:tcW w:w="591" w:type="dxa"/>
            <w:vAlign w:val="center"/>
          </w:tcPr>
          <w:p>
            <w:pPr>
              <w:pStyle w:val="5"/>
              <w:shd w:val="clear" w:color="auto" w:fill="FCFCFC"/>
              <w:spacing w:before="0" w:beforeAutospacing="0" w:after="0" w:afterAutospacing="0"/>
              <w:jc w:val="center"/>
              <w:rPr>
                <w:rFonts w:asci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333333"/>
                <w:sz w:val="21"/>
                <w:szCs w:val="21"/>
              </w:rPr>
              <w:t>备</w:t>
            </w:r>
          </w:p>
          <w:p>
            <w:pPr>
              <w:pStyle w:val="5"/>
              <w:shd w:val="clear" w:color="auto" w:fill="FCFCFC"/>
              <w:spacing w:before="0" w:beforeAutospacing="0" w:after="0" w:afterAutospacing="0"/>
              <w:jc w:val="center"/>
              <w:rPr>
                <w:rFonts w:asci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4" w:type="dxa"/>
            <w:vAlign w:val="top"/>
          </w:tcPr>
          <w:p>
            <w:pPr>
              <w:jc w:val="left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贵市监行处〔2020〕25号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段平珍未按规定建立并遵守进货查验制度一案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段平珍</w:t>
            </w:r>
          </w:p>
        </w:tc>
        <w:tc>
          <w:tcPr>
            <w:tcW w:w="1792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92632523MA4AJM4W</w:t>
            </w:r>
          </w:p>
        </w:tc>
        <w:tc>
          <w:tcPr>
            <w:tcW w:w="885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段平珍</w:t>
            </w:r>
          </w:p>
        </w:tc>
        <w:tc>
          <w:tcPr>
            <w:tcW w:w="3570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2020年，我局执法人员在贵德县河阴镇迎宾东路“贵德县君念美食火锅旗舰店”进行检查时。发现该火锅店未按规定建立并遵守进货查验制度。当日，对当事人下达了责令整改通知书，2020年1月12日，我局执法人员再次对该店的整改情况进行了检查，发现该店在限期的时间内未完成整改。2020年1月13日，我局执法人员报经局长批准予以立案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根据《中华人民共和国食品安全法》第一百二十六条第一款</w:t>
            </w:r>
          </w:p>
        </w:tc>
        <w:tc>
          <w:tcPr>
            <w:tcW w:w="1365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履行方式: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罚款</w:t>
            </w:r>
            <w:r>
              <w:rPr>
                <w:rFonts w:hint="eastAsia" w:cs="宋体"/>
                <w:sz w:val="21"/>
                <w:szCs w:val="21"/>
              </w:rPr>
              <w:t>0.51万元</w:t>
            </w: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贵德县市场监督管理局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2020年4月10日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54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贵市监行处〔2020〕28号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贵德梨香楼饭店未按规定建立进货查验记录一案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刘廷富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92632523MA754KP182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刘廷富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2020年3月2日，我就执法人员对贵德县梨香楼饭店监督检查是发现，该饭店未按规定建立并遵守进货查验记录，当日对该饭店下达责令改正通知书（期限为7个工作日），我局执法人员于2020年3月11日对该在次检查是发现，该店未在规定时间内进行整改，2020年3月11日经局长批准予以立案调查。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根据《中华人民共和国食品安全法》第一百二十六条第一款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履行方式: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罚款</w:t>
            </w:r>
            <w:r>
              <w:rPr>
                <w:rFonts w:hint="eastAsia" w:cs="宋体"/>
                <w:sz w:val="21"/>
                <w:szCs w:val="21"/>
              </w:rPr>
              <w:t>0.51万元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贵德县市场监督管理局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2020年4月10日</w:t>
            </w:r>
          </w:p>
        </w:tc>
        <w:tc>
          <w:tcPr>
            <w:tcW w:w="591" w:type="dxa"/>
            <w:vAlign w:val="center"/>
          </w:tcPr>
          <w:p>
            <w:pPr>
              <w:jc w:val="left"/>
              <w:rPr>
                <w:rFonts w:hint="eastAsia" w:cs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02D9"/>
    <w:rsid w:val="2F94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220"/>
    </w:pPr>
    <w:rPr>
      <w:rFonts w:ascii="宋体" w:hAnsi="宋体" w:eastAsia="宋体"/>
      <w:sz w:val="32"/>
      <w:szCs w:val="32"/>
    </w:rPr>
  </w:style>
  <w:style w:type="paragraph" w:customStyle="1" w:styleId="5">
    <w:name w:val="reader-word-layer reader-word-s6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2020-05-20T08:36:00Z</dcterms:created>
  <dc:creator>°  裸钻</dc:creator>
  <cp:lastModifiedBy>°  裸钻</cp:lastModifiedBy>
  <dcterms:modified xsi:type="dcterms:W3CDTF">2020-05-20T08:46:38Z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