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66" w:rsidRDefault="00A85228">
      <w:pPr>
        <w:spacing w:line="576"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贵德县人力资源和社会保障局</w:t>
      </w:r>
    </w:p>
    <w:p w:rsidR="00FB6666" w:rsidRDefault="00A85228">
      <w:pPr>
        <w:spacing w:line="576"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6"/>
          <w:szCs w:val="36"/>
        </w:rPr>
        <w:t>2019年信息公开工作年度报告</w:t>
      </w:r>
    </w:p>
    <w:p w:rsidR="00FB6666" w:rsidRDefault="00A8522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青海省政务公开领导小组办公室关于做好2019年度政府信息公开工作年度报告编制发布有关事项的通知》要求，依照《中华人民共和国政府信息公开条例》规定，现将县人力资源和社会保障局2019年政府信息公开工作年度报告报上。本年报中所列数据的统计期限自2019年1月1日起至2019年12月31日止。</w:t>
      </w:r>
    </w:p>
    <w:p w:rsidR="00FB6666" w:rsidRDefault="00A85228">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一、总体情况</w:t>
      </w:r>
    </w:p>
    <w:p w:rsidR="00FB6666" w:rsidRDefault="00A85228">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（一）推进“互联网+人社服务”工作。</w:t>
      </w:r>
      <w:r>
        <w:rPr>
          <w:rFonts w:ascii="仿宋_GB2312" w:eastAsia="仿宋_GB2312" w:hAnsi="仿宋_GB2312" w:cs="仿宋_GB2312" w:hint="eastAsia"/>
          <w:sz w:val="32"/>
          <w:szCs w:val="32"/>
        </w:rPr>
        <w:t>不断完善网上政务服务平台信息，实施流程再造。对照权力清单和一次办结事项，进一步清理规范审批事项，对取消和新增的审批事项进行实时更新动态管理。进一步规范完善办事指南和办理流程，对人社系统125个网上服务事项进行了梳理，将办事指南信息和办理流程全面完善。</w:t>
      </w:r>
    </w:p>
    <w:p w:rsidR="00FB6666" w:rsidRDefault="00A85228">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（二）推进“放管服”改革。</w:t>
      </w:r>
      <w:r>
        <w:rPr>
          <w:rFonts w:ascii="仿宋_GB2312" w:eastAsia="仿宋_GB2312" w:hAnsi="仿宋_GB2312" w:cs="仿宋_GB2312" w:hint="eastAsia"/>
          <w:sz w:val="32"/>
          <w:szCs w:val="32"/>
        </w:rPr>
        <w:t>今年以来对县人社局行政许可、公共服务和行政权力事项进行了新一轮清理。积极开展了“减证便民”专项行动，对人社局及所属事业单位行使行政职权或提供公共服务时要求行政相对人或服务对象提供的各种不合法、不合理及重复、无用的证明材料进行清理，提高为民服务效率，11项行政服务事项均可在窗口办理，实现对外事项100%进驻综合性实体服务大厅，对外事项100%实现“一窗”分类受理。取消</w:t>
      </w:r>
      <w:r>
        <w:rPr>
          <w:rFonts w:ascii="仿宋_GB2312" w:eastAsia="仿宋_GB2312" w:hAnsi="仿宋_GB2312" w:cs="仿宋_GB2312" w:hint="eastAsia"/>
          <w:sz w:val="32"/>
          <w:szCs w:val="32"/>
        </w:rPr>
        <w:lastRenderedPageBreak/>
        <w:t>群众申请创业补贴时，所需的房屋证明；原先办理《就业失业登记证》时，所需的申请表一式三份，现已简化为就业登记办证一式两份、失业登记办证一式一份，且不再要求所在乡镇、社区盖章；取消办理灵活就业社保补贴时，由灵活就业企业开具灵活就业证明等。实现社会保险等与群众联系密切的事项就近办、及时办，进一步压缩办结时限。</w:t>
      </w:r>
    </w:p>
    <w:p w:rsidR="00FB6666" w:rsidRDefault="00A85228">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（三）推进“一次办结”改革。</w:t>
      </w:r>
      <w:r>
        <w:rPr>
          <w:rFonts w:ascii="仿宋_GB2312" w:eastAsia="仿宋_GB2312" w:hAnsi="仿宋_GB2312" w:cs="仿宋_GB2312" w:hint="eastAsia"/>
          <w:sz w:val="32"/>
          <w:szCs w:val="32"/>
        </w:rPr>
        <w:t>做好政务民生公开，稳步推进“互联网+”工作。按照县委、县政府关于深化“放管服”改革，推行政务服务“一次办结”的部署要求，全面清理公共服务事项，成功梳理并上传了125条公共服务事项目录至青海省政务服务事项管理系统，上传率达100%，按时按量按质完成了我局所属“互联网+政务服务”工作任务。根据省人社厅和市、区政府工作要求，全面清理了人社系统行政审批事项，规范了行政审批行为，不断优化提升政务服务效能。2018年10月底，已全面完成省级互联网+政务服务平台纳入事项的梳理、填报和发布工作。截止12月，县人社局根据职能划分和权力清单一共纳入省级互联网+政务服务平台的事项为125项，其中行政许可事项4项，行政处罚27项，行政强制1项，行政给付4项，行政检查12项，行政确认5项，其他行政权力8项，公共服务64项。</w:t>
      </w:r>
    </w:p>
    <w:p w:rsidR="00FB6666" w:rsidRDefault="00A85228">
      <w:pPr>
        <w:widowControl/>
        <w:spacing w:after="240" w:line="432" w:lineRule="atLeast"/>
        <w:ind w:firstLineChars="100" w:firstLine="320"/>
        <w:rPr>
          <w:rFonts w:ascii="宋体" w:hAnsi="宋体" w:cs="宋体"/>
          <w:color w:val="333333"/>
          <w:kern w:val="0"/>
          <w:sz w:val="24"/>
        </w:rPr>
      </w:pPr>
      <w:r>
        <w:rPr>
          <w:rFonts w:ascii="黑体" w:eastAsia="黑体" w:hAnsi="黑体" w:cs="黑体" w:hint="eastAsia"/>
          <w:color w:val="333333"/>
          <w:kern w:val="0"/>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FB6666">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第二十条第（一）项</w:t>
            </w:r>
          </w:p>
        </w:tc>
      </w:tr>
      <w:tr w:rsidR="00FB6666">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lastRenderedPageBreak/>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对外公开总数量</w:t>
            </w:r>
          </w:p>
        </w:tc>
      </w:tr>
      <w:tr w:rsidR="00FB6666">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0</w:t>
            </w:r>
          </w:p>
        </w:tc>
      </w:tr>
      <w:tr w:rsidR="00FB6666">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0</w:t>
            </w:r>
          </w:p>
        </w:tc>
      </w:tr>
      <w:tr w:rsidR="00FB6666">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第二十条第（五）项</w:t>
            </w:r>
          </w:p>
        </w:tc>
      </w:tr>
      <w:tr w:rsidR="00FB6666">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处理决定数量</w:t>
            </w:r>
          </w:p>
        </w:tc>
      </w:tr>
      <w:tr w:rsidR="00FB6666">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1</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eastAsia="宋体" w:hAnsi="宋体" w:cs="宋体" w:hint="eastAsia"/>
                <w:color w:val="000000"/>
                <w:kern w:val="0"/>
                <w:sz w:val="20"/>
                <w:szCs w:val="20"/>
              </w:rPr>
              <w:t>1</w:t>
            </w:r>
          </w:p>
        </w:tc>
      </w:tr>
      <w:tr w:rsidR="00FB6666">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741DEA">
            <w:pPr>
              <w:widowControl/>
              <w:jc w:val="left"/>
              <w:rPr>
                <w:rFonts w:ascii="宋体" w:eastAsia="宋体" w:hAnsi="宋体" w:cs="宋体"/>
                <w:kern w:val="0"/>
                <w:sz w:val="24"/>
              </w:rPr>
            </w:pPr>
            <w:r>
              <w:rPr>
                <w:rFonts w:ascii="宋体" w:eastAsia="宋体" w:hAnsi="宋体" w:cs="宋体" w:hint="eastAsia"/>
                <w:color w:val="000000"/>
                <w:kern w:val="0"/>
                <w:sz w:val="20"/>
                <w:szCs w:val="20"/>
              </w:rPr>
              <w:t>63</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741DEA">
            <w:pPr>
              <w:widowControl/>
              <w:jc w:val="left"/>
              <w:rPr>
                <w:rFonts w:ascii="宋体" w:eastAsia="宋体" w:hAnsi="宋体" w:cs="宋体"/>
                <w:kern w:val="0"/>
                <w:sz w:val="24"/>
              </w:rPr>
            </w:pPr>
            <w:r>
              <w:rPr>
                <w:rFonts w:ascii="宋体" w:eastAsia="宋体" w:hAnsi="宋体" w:cs="宋体" w:hint="eastAsia"/>
                <w:color w:val="000000"/>
                <w:kern w:val="0"/>
                <w:sz w:val="20"/>
                <w:szCs w:val="20"/>
              </w:rPr>
              <w:t>-6</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741DEA">
            <w:pPr>
              <w:widowControl/>
              <w:jc w:val="left"/>
              <w:rPr>
                <w:rFonts w:ascii="宋体" w:eastAsia="宋体" w:hAnsi="宋体" w:cs="宋体"/>
                <w:kern w:val="0"/>
                <w:sz w:val="24"/>
              </w:rPr>
            </w:pPr>
            <w:r>
              <w:rPr>
                <w:rFonts w:ascii="宋体" w:eastAsia="宋体" w:hAnsi="宋体" w:cs="宋体" w:hint="eastAsia"/>
                <w:color w:val="000000"/>
                <w:kern w:val="0"/>
                <w:sz w:val="20"/>
                <w:szCs w:val="20"/>
              </w:rPr>
              <w:t>57</w:t>
            </w:r>
          </w:p>
        </w:tc>
      </w:tr>
      <w:tr w:rsidR="00FB6666">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第二十条第（六）项</w:t>
            </w:r>
          </w:p>
        </w:tc>
      </w:tr>
      <w:tr w:rsidR="00FB6666">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处理决定数量</w:t>
            </w:r>
          </w:p>
        </w:tc>
      </w:tr>
      <w:tr w:rsidR="00FB6666">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color w:val="000000"/>
                <w:kern w:val="0"/>
                <w:sz w:val="20"/>
                <w:szCs w:val="20"/>
              </w:rPr>
              <w:t xml:space="preserve">　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color w:val="000000"/>
                <w:kern w:val="0"/>
                <w:sz w:val="20"/>
                <w:szCs w:val="20"/>
              </w:rPr>
              <w:t xml:space="preserve">　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color w:val="000000"/>
                <w:kern w:val="0"/>
                <w:sz w:val="20"/>
                <w:szCs w:val="20"/>
              </w:rPr>
              <w:t xml:space="preserve">　0</w:t>
            </w:r>
          </w:p>
        </w:tc>
      </w:tr>
      <w:tr w:rsidR="00FB6666">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color w:val="000000"/>
                <w:kern w:val="0"/>
                <w:sz w:val="20"/>
                <w:szCs w:val="20"/>
              </w:rPr>
              <w:t xml:space="preserve">　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color w:val="000000"/>
                <w:kern w:val="0"/>
                <w:sz w:val="20"/>
                <w:szCs w:val="20"/>
              </w:rPr>
              <w:t xml:space="preserve">　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color w:val="000000"/>
                <w:kern w:val="0"/>
                <w:sz w:val="20"/>
                <w:szCs w:val="20"/>
              </w:rPr>
              <w:t xml:space="preserve">　0</w:t>
            </w:r>
          </w:p>
        </w:tc>
      </w:tr>
      <w:tr w:rsidR="00FB6666">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第二十条第（八）项</w:t>
            </w:r>
          </w:p>
        </w:tc>
      </w:tr>
      <w:tr w:rsidR="00FB6666">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本年增/减</w:t>
            </w:r>
          </w:p>
        </w:tc>
      </w:tr>
      <w:tr w:rsidR="00FB6666">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color w:val="000000"/>
                <w:kern w:val="0"/>
                <w:sz w:val="20"/>
                <w:szCs w:val="20"/>
              </w:rPr>
              <w:t xml:space="preserve">　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0 </w:t>
            </w:r>
          </w:p>
        </w:tc>
      </w:tr>
      <w:tr w:rsidR="00FB6666">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第二十条第（九）项</w:t>
            </w:r>
          </w:p>
        </w:tc>
      </w:tr>
      <w:tr w:rsidR="00FB6666">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采购总金额</w:t>
            </w:r>
          </w:p>
        </w:tc>
      </w:tr>
      <w:tr w:rsidR="00FB6666">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color w:val="000000"/>
                <w:kern w:val="0"/>
                <w:sz w:val="20"/>
                <w:szCs w:val="20"/>
              </w:rPr>
              <w:t xml:space="preserve">　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kern w:val="0"/>
                <w:sz w:val="24"/>
              </w:rPr>
              <w:t>0</w:t>
            </w:r>
          </w:p>
        </w:tc>
      </w:tr>
    </w:tbl>
    <w:p w:rsidR="00FB6666" w:rsidRDefault="00A85228">
      <w:pPr>
        <w:widowControl/>
        <w:spacing w:after="240" w:line="432" w:lineRule="atLeast"/>
        <w:ind w:firstLineChars="100" w:firstLine="320"/>
        <w:rPr>
          <w:rFonts w:ascii="宋体" w:hAnsi="宋体" w:cs="宋体"/>
          <w:color w:val="333333"/>
          <w:kern w:val="0"/>
          <w:sz w:val="24"/>
        </w:rPr>
      </w:pPr>
      <w:r>
        <w:rPr>
          <w:rFonts w:ascii="黑体" w:eastAsia="黑体" w:hAnsi="黑体" w:cs="黑体" w:hint="eastAsia"/>
          <w:color w:val="333333"/>
          <w:kern w:val="0"/>
          <w:sz w:val="32"/>
          <w:szCs w:val="32"/>
        </w:rPr>
        <w:t>三、收到和处理政府信息公开申请情况</w:t>
      </w:r>
    </w:p>
    <w:tbl>
      <w:tblPr>
        <w:tblW w:w="8123" w:type="dxa"/>
        <w:jc w:val="center"/>
        <w:tblCellMar>
          <w:left w:w="0" w:type="dxa"/>
          <w:right w:w="0" w:type="dxa"/>
        </w:tblCellMar>
        <w:tblLook w:val="04A0"/>
      </w:tblPr>
      <w:tblGrid>
        <w:gridCol w:w="616"/>
        <w:gridCol w:w="816"/>
        <w:gridCol w:w="1823"/>
        <w:gridCol w:w="717"/>
        <w:gridCol w:w="667"/>
        <w:gridCol w:w="667"/>
        <w:gridCol w:w="717"/>
        <w:gridCol w:w="855"/>
        <w:gridCol w:w="629"/>
        <w:gridCol w:w="616"/>
      </w:tblGrid>
      <w:tr w:rsidR="00FB6666">
        <w:trPr>
          <w:trHeight w:val="307"/>
          <w:jc w:val="center"/>
        </w:trPr>
        <w:tc>
          <w:tcPr>
            <w:tcW w:w="3255" w:type="dxa"/>
            <w:gridSpan w:val="3"/>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（本列数据的勾稽关系为：第一项加第二项之和，等于第三项加第四项之和）</w:t>
            </w:r>
          </w:p>
        </w:tc>
        <w:tc>
          <w:tcPr>
            <w:tcW w:w="4868"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申请人情况</w:t>
            </w:r>
          </w:p>
        </w:tc>
      </w:tr>
      <w:tr w:rsidR="00FB6666">
        <w:trPr>
          <w:trHeight w:val="142"/>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71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自然人</w:t>
            </w:r>
          </w:p>
        </w:tc>
        <w:tc>
          <w:tcPr>
            <w:tcW w:w="3535"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法人或其他组织</w:t>
            </w:r>
          </w:p>
        </w:tc>
        <w:tc>
          <w:tcPr>
            <w:tcW w:w="616"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总计</w:t>
            </w:r>
          </w:p>
        </w:tc>
      </w:tr>
      <w:tr w:rsidR="00FB6666">
        <w:trPr>
          <w:trHeight w:val="142"/>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717" w:type="dxa"/>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商业企业</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科研机构</w:t>
            </w:r>
          </w:p>
        </w:tc>
        <w:tc>
          <w:tcPr>
            <w:tcW w:w="7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社会公益组织</w:t>
            </w:r>
          </w:p>
        </w:tc>
        <w:tc>
          <w:tcPr>
            <w:tcW w:w="8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法律服务机构</w:t>
            </w:r>
          </w:p>
        </w:tc>
        <w:tc>
          <w:tcPr>
            <w:tcW w:w="6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r>
      <w:tr w:rsidR="00FB6666">
        <w:trPr>
          <w:trHeight w:val="30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kern w:val="0"/>
                <w:sz w:val="20"/>
                <w:szCs w:val="20"/>
              </w:rPr>
              <w:t>一、本年新收政府信息公开申请数量</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0</w:t>
            </w:r>
          </w:p>
        </w:tc>
      </w:tr>
      <w:tr w:rsidR="00FB6666">
        <w:trPr>
          <w:trHeight w:val="29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kern w:val="0"/>
                <w:sz w:val="20"/>
                <w:szCs w:val="20"/>
              </w:rPr>
              <w:t>二、上年结转政府信息公开申请数</w:t>
            </w:r>
            <w:r>
              <w:rPr>
                <w:rFonts w:ascii="宋体" w:hAnsi="宋体" w:cs="宋体" w:hint="eastAsia"/>
                <w:kern w:val="0"/>
                <w:sz w:val="20"/>
                <w:szCs w:val="20"/>
              </w:rPr>
              <w:lastRenderedPageBreak/>
              <w:t>量</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lastRenderedPageBreak/>
              <w:t>3</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3</w:t>
            </w:r>
          </w:p>
        </w:tc>
      </w:tr>
      <w:tr w:rsidR="00FB6666">
        <w:trPr>
          <w:trHeight w:val="307"/>
          <w:jc w:val="center"/>
        </w:trPr>
        <w:tc>
          <w:tcPr>
            <w:tcW w:w="61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lastRenderedPageBreak/>
              <w:t>三、本年度办理结果</w:t>
            </w: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楷体" w:eastAsia="楷体" w:hAnsi="楷体" w:cs="宋体" w:hint="eastAsia"/>
                <w:kern w:val="0"/>
                <w:sz w:val="20"/>
                <w:szCs w:val="20"/>
              </w:rPr>
              <w:t>（一）予以公开</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3</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3</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楷体" w:eastAsia="楷体" w:hAnsi="楷体" w:cs="宋体" w:hint="eastAsia"/>
                <w:kern w:val="0"/>
                <w:sz w:val="20"/>
                <w:szCs w:val="20"/>
              </w:rPr>
              <w:t>（二）部分公开（区分处理的，只计这一情形，不计其他情形）</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楷体" w:eastAsia="楷体" w:hAnsi="楷体" w:cs="宋体" w:hint="eastAsia"/>
                <w:kern w:val="0"/>
                <w:sz w:val="20"/>
                <w:szCs w:val="20"/>
              </w:rPr>
              <w:t>（三）不予公开</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楷体" w:eastAsia="楷体" w:hAnsi="楷体" w:cs="宋体" w:hint="eastAsia"/>
                <w:kern w:val="0"/>
                <w:sz w:val="20"/>
                <w:szCs w:val="20"/>
              </w:rPr>
              <w:t>（四）无法提供</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楷体" w:eastAsia="楷体" w:hAnsi="楷体" w:cs="宋体" w:hint="eastAsia"/>
                <w:kern w:val="0"/>
                <w:sz w:val="20"/>
                <w:szCs w:val="20"/>
              </w:rPr>
              <w:t>（五）不予处理</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楷体" w:eastAsia="楷体" w:hAnsi="楷体" w:cs="宋体" w:hint="eastAsia"/>
                <w:kern w:val="0"/>
                <w:sz w:val="20"/>
                <w:szCs w:val="20"/>
              </w:rPr>
              <w:t>（六）其他处理</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r>
      <w:tr w:rsidR="00FB666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楷体" w:eastAsia="楷体" w:hAnsi="楷体" w:cs="宋体" w:hint="eastAsia"/>
                <w:kern w:val="0"/>
                <w:sz w:val="20"/>
                <w:szCs w:val="20"/>
              </w:rPr>
              <w:t>（七）总计</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r>
      <w:tr w:rsidR="00FB6666">
        <w:trPr>
          <w:trHeight w:val="30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hAnsi="宋体" w:cs="宋体"/>
                <w:kern w:val="0"/>
                <w:sz w:val="24"/>
              </w:rPr>
            </w:pPr>
            <w:r>
              <w:rPr>
                <w:rFonts w:ascii="宋体" w:hAnsi="宋体" w:cs="宋体" w:hint="eastAsia"/>
                <w:kern w:val="0"/>
                <w:sz w:val="20"/>
                <w:szCs w:val="20"/>
              </w:rPr>
              <w:t>四、结转下年度继续办理</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kern w:val="0"/>
                <w:sz w:val="24"/>
              </w:rPr>
              <w:t>0</w:t>
            </w:r>
          </w:p>
        </w:tc>
      </w:tr>
    </w:tbl>
    <w:p w:rsidR="00FB6666" w:rsidRDefault="00A85228">
      <w:pPr>
        <w:widowControl/>
        <w:spacing w:line="576" w:lineRule="exact"/>
        <w:ind w:firstLine="482"/>
        <w:rPr>
          <w:rFonts w:ascii="宋体" w:hAnsi="宋体" w:cs="宋体"/>
          <w:color w:val="333333"/>
          <w:kern w:val="0"/>
          <w:sz w:val="24"/>
        </w:rPr>
      </w:pPr>
      <w:r>
        <w:rPr>
          <w:rFonts w:ascii="黑体" w:eastAsia="黑体" w:hAnsi="黑体" w:cs="黑体" w:hint="eastAsia"/>
          <w:color w:val="333333"/>
          <w:kern w:val="0"/>
          <w:sz w:val="32"/>
          <w:szCs w:val="32"/>
        </w:rPr>
        <w:t>四、政府信息公开行政复议、行政诉讼情况</w:t>
      </w:r>
    </w:p>
    <w:p w:rsidR="00FB6666" w:rsidRDefault="00A85228">
      <w:pPr>
        <w:widowControl/>
        <w:spacing w:line="576" w:lineRule="exact"/>
        <w:ind w:firstLine="482"/>
        <w:rPr>
          <w:rFonts w:ascii="宋体" w:hAnsi="宋体" w:cs="宋体"/>
          <w:color w:val="333333"/>
          <w:kern w:val="0"/>
          <w:sz w:val="24"/>
        </w:rPr>
      </w:pPr>
      <w:r>
        <w:rPr>
          <w:rFonts w:ascii="仿宋_GB2312" w:eastAsia="仿宋_GB2312" w:hAnsi="微软雅黑" w:cs="仿宋_GB2312" w:hint="eastAsia"/>
          <w:sz w:val="32"/>
          <w:szCs w:val="32"/>
          <w:shd w:val="clear" w:color="auto" w:fill="FFFFFF"/>
        </w:rPr>
        <w:t>2019年在依申请公开政府信息中，我局未因申请政府信息公开引起举报、投诉、行政复议和行政诉讼等案件的发生。</w:t>
      </w:r>
    </w:p>
    <w:tbl>
      <w:tblPr>
        <w:tblW w:w="7743" w:type="dxa"/>
        <w:jc w:val="center"/>
        <w:tblCellMar>
          <w:left w:w="0" w:type="dxa"/>
          <w:right w:w="0" w:type="dxa"/>
        </w:tblCellMar>
        <w:tblLook w:val="04A0"/>
      </w:tblPr>
      <w:tblGrid>
        <w:gridCol w:w="515"/>
        <w:gridCol w:w="515"/>
        <w:gridCol w:w="515"/>
        <w:gridCol w:w="515"/>
        <w:gridCol w:w="564"/>
        <w:gridCol w:w="516"/>
        <w:gridCol w:w="516"/>
        <w:gridCol w:w="516"/>
        <w:gridCol w:w="516"/>
        <w:gridCol w:w="517"/>
        <w:gridCol w:w="516"/>
        <w:gridCol w:w="516"/>
        <w:gridCol w:w="516"/>
        <w:gridCol w:w="517"/>
        <w:gridCol w:w="518"/>
      </w:tblGrid>
      <w:tr w:rsidR="00FB6666">
        <w:trPr>
          <w:trHeight w:val="273"/>
          <w:jc w:val="center"/>
        </w:trPr>
        <w:tc>
          <w:tcPr>
            <w:tcW w:w="2624"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行政复议</w:t>
            </w:r>
          </w:p>
        </w:tc>
        <w:tc>
          <w:tcPr>
            <w:tcW w:w="5119" w:type="dxa"/>
            <w:gridSpan w:val="10"/>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行政诉讼</w:t>
            </w:r>
          </w:p>
        </w:tc>
      </w:tr>
      <w:tr w:rsidR="00FB6666">
        <w:trPr>
          <w:trHeight w:val="283"/>
          <w:jc w:val="center"/>
        </w:trPr>
        <w:tc>
          <w:tcPr>
            <w:tcW w:w="5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结果维持</w:t>
            </w:r>
          </w:p>
        </w:tc>
        <w:tc>
          <w:tcPr>
            <w:tcW w:w="51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结果纠正</w:t>
            </w:r>
          </w:p>
        </w:tc>
        <w:tc>
          <w:tcPr>
            <w:tcW w:w="51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其他结果</w:t>
            </w:r>
          </w:p>
        </w:tc>
        <w:tc>
          <w:tcPr>
            <w:tcW w:w="51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尚未审结</w:t>
            </w:r>
          </w:p>
        </w:tc>
        <w:tc>
          <w:tcPr>
            <w:tcW w:w="563"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总计</w:t>
            </w:r>
          </w:p>
        </w:tc>
        <w:tc>
          <w:tcPr>
            <w:tcW w:w="2536"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未经复议直接起诉</w:t>
            </w:r>
          </w:p>
        </w:tc>
        <w:tc>
          <w:tcPr>
            <w:tcW w:w="2583"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复议后起诉</w:t>
            </w:r>
          </w:p>
        </w:tc>
      </w:tr>
      <w:tr w:rsidR="00FB6666">
        <w:trPr>
          <w:trHeight w:val="130"/>
          <w:jc w:val="center"/>
        </w:trPr>
        <w:tc>
          <w:tcPr>
            <w:tcW w:w="0" w:type="auto"/>
            <w:vMerge/>
            <w:tcBorders>
              <w:top w:val="nil"/>
              <w:left w:val="single" w:sz="8" w:space="0" w:color="auto"/>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FB6666" w:rsidRDefault="00FB6666">
            <w:pPr>
              <w:widowControl/>
              <w:jc w:val="left"/>
              <w:rPr>
                <w:rFonts w:ascii="宋体" w:hAnsi="宋体" w:cs="宋体"/>
                <w:kern w:val="0"/>
                <w:sz w:val="24"/>
              </w:rPr>
            </w:pPr>
          </w:p>
        </w:tc>
        <w:tc>
          <w:tcPr>
            <w:tcW w:w="4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结果维持</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结果纠正</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其他结果</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尚未审结</w:t>
            </w:r>
          </w:p>
        </w:tc>
        <w:tc>
          <w:tcPr>
            <w:tcW w:w="5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总计</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结果维持</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结果纠正</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其他结果</w:t>
            </w:r>
          </w:p>
        </w:tc>
        <w:tc>
          <w:tcPr>
            <w:tcW w:w="5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尚未审结</w:t>
            </w:r>
          </w:p>
        </w:tc>
        <w:tc>
          <w:tcPr>
            <w:tcW w:w="5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总计</w:t>
            </w:r>
          </w:p>
        </w:tc>
      </w:tr>
      <w:tr w:rsidR="00FB6666">
        <w:trPr>
          <w:trHeight w:val="283"/>
          <w:jc w:val="center"/>
        </w:trPr>
        <w:tc>
          <w:tcPr>
            <w:tcW w:w="5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cs="Calibri"/>
                <w:kern w:val="0"/>
                <w:sz w:val="20"/>
                <w:szCs w:val="20"/>
              </w:rPr>
              <w:t> </w:t>
            </w:r>
            <w:r>
              <w:rPr>
                <w:rFonts w:cs="Calibri" w:hint="eastAsia"/>
                <w:kern w:val="0"/>
                <w:sz w:val="20"/>
                <w:szCs w:val="20"/>
              </w:rPr>
              <w:t>0</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4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0 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0 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ascii="宋体" w:hAnsi="宋体" w:cs="宋体" w:hint="eastAsia"/>
                <w:kern w:val="0"/>
                <w:sz w:val="20"/>
                <w:szCs w:val="20"/>
              </w:rPr>
              <w:t> 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kern w:val="0"/>
                <w:sz w:val="20"/>
                <w:szCs w:val="20"/>
              </w:rPr>
              <w:t>0 </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ascii="宋体" w:hAnsi="宋体" w:cs="宋体" w:hint="eastAsia"/>
                <w:color w:val="000000"/>
                <w:kern w:val="0"/>
                <w:sz w:val="20"/>
                <w:szCs w:val="20"/>
              </w:rPr>
              <w:t> 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ascii="宋体" w:hAnsi="宋体" w:cs="宋体" w:hint="eastAsia"/>
                <w:kern w:val="0"/>
                <w:sz w:val="20"/>
                <w:szCs w:val="20"/>
              </w:rPr>
              <w:t> 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ascii="宋体" w:hAnsi="宋体" w:cs="宋体" w:hint="eastAsia"/>
                <w:kern w:val="0"/>
                <w:sz w:val="20"/>
                <w:szCs w:val="20"/>
              </w:rPr>
              <w:t> 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hAnsi="宋体" w:cs="宋体"/>
                <w:kern w:val="0"/>
                <w:sz w:val="24"/>
              </w:rPr>
            </w:pPr>
            <w:r>
              <w:rPr>
                <w:rFonts w:ascii="宋体" w:hAnsi="宋体" w:cs="宋体" w:hint="eastAsia"/>
                <w:color w:val="000000"/>
                <w:kern w:val="0"/>
                <w:sz w:val="20"/>
                <w:szCs w:val="20"/>
              </w:rPr>
              <w:t>0 </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center"/>
              <w:rPr>
                <w:rFonts w:ascii="宋体" w:eastAsia="宋体" w:hAnsi="宋体" w:cs="宋体"/>
                <w:kern w:val="0"/>
                <w:sz w:val="24"/>
              </w:rPr>
            </w:pPr>
            <w:r>
              <w:rPr>
                <w:rFonts w:ascii="宋体" w:hAnsi="宋体" w:cs="宋体" w:hint="eastAsia"/>
                <w:kern w:val="0"/>
                <w:sz w:val="20"/>
                <w:szCs w:val="20"/>
              </w:rPr>
              <w:t> 0</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6666" w:rsidRDefault="00A85228">
            <w:pPr>
              <w:widowControl/>
              <w:jc w:val="left"/>
              <w:rPr>
                <w:rFonts w:ascii="宋体" w:eastAsia="宋体" w:hAnsi="宋体" w:cs="宋体"/>
                <w:kern w:val="0"/>
                <w:sz w:val="24"/>
              </w:rPr>
            </w:pPr>
            <w:r>
              <w:rPr>
                <w:rFonts w:ascii="宋体" w:hAnsi="宋体" w:cs="宋体" w:hint="eastAsia"/>
                <w:kern w:val="0"/>
                <w:sz w:val="24"/>
              </w:rPr>
              <w:t>0</w:t>
            </w:r>
          </w:p>
        </w:tc>
      </w:tr>
    </w:tbl>
    <w:p w:rsidR="00FB6666" w:rsidRDefault="00A85228">
      <w:pPr>
        <w:widowControl/>
        <w:spacing w:line="576" w:lineRule="exact"/>
        <w:ind w:firstLine="480"/>
        <w:rPr>
          <w:rFonts w:ascii="宋体" w:hAnsi="宋体" w:cs="宋体"/>
          <w:color w:val="333333"/>
          <w:kern w:val="0"/>
          <w:sz w:val="24"/>
        </w:rPr>
      </w:pPr>
      <w:r>
        <w:rPr>
          <w:rFonts w:ascii="黑体" w:eastAsia="黑体" w:hAnsi="黑体" w:cs="黑体" w:hint="eastAsia"/>
          <w:color w:val="333333"/>
          <w:kern w:val="0"/>
          <w:sz w:val="32"/>
          <w:szCs w:val="32"/>
        </w:rPr>
        <w:t>五、存在的主要问题及改进情况</w:t>
      </w:r>
    </w:p>
    <w:p w:rsidR="00FB6666" w:rsidRDefault="00A85228">
      <w:pPr>
        <w:spacing w:line="576" w:lineRule="exact"/>
        <w:ind w:firstLineChars="200" w:firstLine="643"/>
        <w:rPr>
          <w:rFonts w:ascii="仿宋_GB2312" w:eastAsia="仿宋_GB2312" w:hAnsi="微软雅黑" w:cs="仿宋_GB2312"/>
          <w:sz w:val="32"/>
          <w:szCs w:val="32"/>
          <w:shd w:val="clear" w:color="auto" w:fill="FFFFFF"/>
        </w:rPr>
      </w:pPr>
      <w:r>
        <w:rPr>
          <w:rFonts w:ascii="楷体_GB2312" w:eastAsia="楷体_GB2312" w:hAnsi="楷体_GB2312" w:cs="楷体_GB2312" w:hint="eastAsia"/>
          <w:b/>
          <w:bCs/>
          <w:sz w:val="32"/>
          <w:szCs w:val="32"/>
        </w:rPr>
        <w:lastRenderedPageBreak/>
        <w:t>存在的问题：</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工作人员对政府信息公开工作重要性认识不足，需要进一步加大培训力度。</w:t>
      </w:r>
      <w:r>
        <w:rPr>
          <w:rFonts w:ascii="仿宋_GB2312" w:eastAsia="仿宋_GB2312" w:hAnsi="仿宋_GB2312" w:cs="仿宋_GB2312" w:hint="eastAsia"/>
          <w:b/>
          <w:bCs/>
          <w:sz w:val="32"/>
          <w:szCs w:val="32"/>
        </w:rPr>
        <w:t>二是</w:t>
      </w:r>
      <w:r>
        <w:rPr>
          <w:rFonts w:ascii="仿宋_GB2312" w:eastAsia="仿宋_GB2312" w:hAnsi="微软雅黑" w:cs="仿宋_GB2312" w:hint="eastAsia"/>
          <w:sz w:val="32"/>
          <w:szCs w:val="32"/>
          <w:shd w:val="clear" w:color="auto" w:fill="FFFFFF"/>
        </w:rPr>
        <w:t>因不同的公民、法人和其他组织对于政府信息的需求各不相同，相比于主动公开政府信息的基本要求，依申请公开政府信息在实践中更为复杂。</w:t>
      </w:r>
    </w:p>
    <w:p w:rsidR="00FB6666" w:rsidRDefault="00A85228">
      <w:pPr>
        <w:spacing w:line="576" w:lineRule="exact"/>
        <w:ind w:firstLineChars="200" w:firstLine="643"/>
      </w:pPr>
      <w:r>
        <w:rPr>
          <w:rFonts w:ascii="楷体_GB2312" w:eastAsia="楷体_GB2312" w:hAnsi="楷体_GB2312" w:cs="楷体_GB2312" w:hint="eastAsia"/>
          <w:b/>
          <w:bCs/>
          <w:sz w:val="32"/>
          <w:szCs w:val="32"/>
          <w:shd w:val="clear" w:color="auto" w:fill="FFFFFF"/>
        </w:rPr>
        <w:t>改进情况</w:t>
      </w:r>
      <w:r>
        <w:rPr>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b/>
          <w:bCs/>
          <w:sz w:val="32"/>
          <w:szCs w:val="32"/>
          <w:shd w:val="clear" w:color="auto" w:fill="FFFFFF"/>
        </w:rPr>
        <w:t>一是</w:t>
      </w:r>
      <w:r>
        <w:rPr>
          <w:rFonts w:ascii="仿宋_GB2312" w:eastAsia="仿宋_GB2312" w:hAnsi="微软雅黑" w:cs="仿宋_GB2312" w:hint="eastAsia"/>
          <w:sz w:val="32"/>
          <w:szCs w:val="32"/>
          <w:shd w:val="clear" w:color="auto" w:fill="FFFFFF"/>
        </w:rPr>
        <w:t>强化对相关工作人员的业务培训，增强工作责任心，及时梳理、录入相关信息，充分发挥政府网站作为政府信息公开第一平台的作用。</w:t>
      </w:r>
      <w:r>
        <w:rPr>
          <w:rFonts w:ascii="仿宋_GB2312" w:eastAsia="仿宋_GB2312" w:hAnsi="微软雅黑" w:cs="仿宋_GB2312" w:hint="eastAsia"/>
          <w:b/>
          <w:bCs/>
          <w:sz w:val="32"/>
          <w:szCs w:val="32"/>
          <w:shd w:val="clear" w:color="auto" w:fill="FFFFFF"/>
        </w:rPr>
        <w:t>二是</w:t>
      </w:r>
      <w:r>
        <w:rPr>
          <w:rFonts w:ascii="仿宋_GB2312" w:eastAsia="仿宋_GB2312" w:hAnsi="微软雅黑" w:cs="仿宋_GB2312" w:hint="eastAsia"/>
          <w:sz w:val="32"/>
          <w:szCs w:val="32"/>
          <w:shd w:val="clear" w:color="auto" w:fill="FFFFFF"/>
        </w:rPr>
        <w:t>在人社局微信公众号和电子显示屏上集中发布主动公开的政府信息，设置意见箱，及时听取公众对政府信息公开工作的意见和建议，以利改进工作。及时梳理相对集中的信息，提供个性化服务，多措并举满足申请人需求，进一步提高依申请公开工作的预见性、主动性和实效性，切实满足公众的信息需求。</w:t>
      </w:r>
      <w:bookmarkStart w:id="0" w:name="_GoBack"/>
      <w:bookmarkEnd w:id="0"/>
    </w:p>
    <w:sectPr w:rsidR="00FB6666" w:rsidSect="00FB6666">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D1C" w:rsidRDefault="00EC2D1C" w:rsidP="00116DF5">
      <w:r>
        <w:separator/>
      </w:r>
    </w:p>
  </w:endnote>
  <w:endnote w:type="continuationSeparator" w:id="1">
    <w:p w:rsidR="00EC2D1C" w:rsidRDefault="00EC2D1C" w:rsidP="00116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D1C" w:rsidRDefault="00EC2D1C" w:rsidP="00116DF5">
      <w:r>
        <w:separator/>
      </w:r>
    </w:p>
  </w:footnote>
  <w:footnote w:type="continuationSeparator" w:id="1">
    <w:p w:rsidR="00EC2D1C" w:rsidRDefault="00EC2D1C" w:rsidP="00116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B7008A"/>
    <w:rsid w:val="00116DF5"/>
    <w:rsid w:val="00741DEA"/>
    <w:rsid w:val="00A85228"/>
    <w:rsid w:val="00B574E6"/>
    <w:rsid w:val="00D0113E"/>
    <w:rsid w:val="00EA48E4"/>
    <w:rsid w:val="00EC2D1C"/>
    <w:rsid w:val="00FB6666"/>
    <w:rsid w:val="3336683F"/>
    <w:rsid w:val="35B7008A"/>
    <w:rsid w:val="6A165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6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B6666"/>
    <w:pPr>
      <w:spacing w:beforeAutospacing="1" w:afterAutospacing="1"/>
      <w:jc w:val="left"/>
    </w:pPr>
    <w:rPr>
      <w:rFonts w:cs="Times New Roman"/>
      <w:kern w:val="0"/>
      <w:sz w:val="24"/>
    </w:rPr>
  </w:style>
  <w:style w:type="character" w:styleId="a4">
    <w:name w:val="FollowedHyperlink"/>
    <w:basedOn w:val="a0"/>
    <w:qFormat/>
    <w:rsid w:val="00FB6666"/>
    <w:rPr>
      <w:color w:val="800080"/>
      <w:u w:val="none"/>
    </w:rPr>
  </w:style>
  <w:style w:type="character" w:styleId="a5">
    <w:name w:val="Hyperlink"/>
    <w:basedOn w:val="a0"/>
    <w:qFormat/>
    <w:rsid w:val="00FB6666"/>
    <w:rPr>
      <w:color w:val="0000FF"/>
      <w:u w:val="none"/>
    </w:rPr>
  </w:style>
  <w:style w:type="paragraph" w:styleId="a6">
    <w:name w:val="header"/>
    <w:basedOn w:val="a"/>
    <w:link w:val="Char"/>
    <w:rsid w:val="00116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16DF5"/>
    <w:rPr>
      <w:rFonts w:asciiTheme="minorHAnsi" w:eastAsiaTheme="minorEastAsia" w:hAnsiTheme="minorHAnsi" w:cstheme="minorBidi"/>
      <w:kern w:val="2"/>
      <w:sz w:val="18"/>
      <w:szCs w:val="18"/>
    </w:rPr>
  </w:style>
  <w:style w:type="paragraph" w:styleId="a7">
    <w:name w:val="footer"/>
    <w:basedOn w:val="a"/>
    <w:link w:val="Char0"/>
    <w:rsid w:val="00116DF5"/>
    <w:pPr>
      <w:tabs>
        <w:tab w:val="center" w:pos="4153"/>
        <w:tab w:val="right" w:pos="8306"/>
      </w:tabs>
      <w:snapToGrid w:val="0"/>
      <w:jc w:val="left"/>
    </w:pPr>
    <w:rPr>
      <w:sz w:val="18"/>
      <w:szCs w:val="18"/>
    </w:rPr>
  </w:style>
  <w:style w:type="character" w:customStyle="1" w:styleId="Char0">
    <w:name w:val="页脚 Char"/>
    <w:basedOn w:val="a0"/>
    <w:link w:val="a7"/>
    <w:rsid w:val="00116D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405</Words>
  <Characters>2313</Characters>
  <Application>Microsoft Office Word</Application>
  <DocSecurity>0</DocSecurity>
  <Lines>19</Lines>
  <Paragraphs>5</Paragraphs>
  <ScaleCrop>false</ScaleCrop>
  <Company>Microsoft</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闲人</dc:creator>
  <cp:lastModifiedBy>guide</cp:lastModifiedBy>
  <cp:revision>5</cp:revision>
  <cp:lastPrinted>2020-02-16T01:38:00Z</cp:lastPrinted>
  <dcterms:created xsi:type="dcterms:W3CDTF">2020-02-15T08:21:00Z</dcterms:created>
  <dcterms:modified xsi:type="dcterms:W3CDTF">2020-03-11T04:07:00Z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