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32"/>
          <w:szCs w:val="32"/>
          <w:lang w:eastAsia="zh-CN" w:bidi="ar-SA"/>
        </w:rPr>
      </w:pPr>
      <w:r>
        <w:rPr>
          <w:rFonts w:hint="eastAsia" w:ascii="方正小标宋简体" w:eastAsia="方正小标宋简体" w:cs="方正小标宋简体"/>
          <w:sz w:val="32"/>
          <w:szCs w:val="32"/>
          <w:lang w:eastAsia="zh-CN" w:bidi="ar-SA"/>
        </w:rPr>
        <w:t>行政处罚信息公开表</w:t>
      </w:r>
    </w:p>
    <w:p>
      <w:pPr>
        <w:jc w:val="left"/>
        <w:rPr>
          <w:rFonts w:hint="eastAsia" w:ascii="仿宋_GB2312" w:eastAsia="仿宋_GB2312" w:cs="仿宋_GB2312"/>
          <w:sz w:val="21"/>
          <w:szCs w:val="21"/>
          <w:lang w:eastAsia="zh-CN" w:bidi="ar-SA"/>
        </w:rPr>
      </w:pPr>
      <w:r>
        <w:rPr>
          <w:rFonts w:hint="eastAsia" w:ascii="仿宋_GB2312" w:eastAsia="仿宋_GB2312" w:cs="仿宋_GB2312"/>
          <w:sz w:val="21"/>
          <w:szCs w:val="21"/>
          <w:lang w:eastAsia="zh-CN" w:bidi="ar-SA"/>
        </w:rPr>
        <w:t>填报单位（盖章）：贵德县市场监督管理局</w:t>
      </w:r>
      <w:r>
        <w:rPr>
          <w:rFonts w:hint="eastAsia" w:ascii="仿宋_GB2312" w:eastAsia="仿宋_GB2312" w:cs="仿宋_GB2312"/>
          <w:sz w:val="21"/>
          <w:szCs w:val="21"/>
          <w:lang w:val="en-US" w:eastAsia="zh-CN" w:bidi="ar-SA"/>
        </w:rPr>
        <w:t xml:space="preserve">                                                              </w:t>
      </w:r>
      <w:bookmarkStart w:id="0" w:name="_GoBack"/>
      <w:bookmarkEnd w:id="0"/>
      <w:r>
        <w:rPr>
          <w:rFonts w:hint="eastAsia" w:ascii="仿宋_GB2312" w:eastAsia="仿宋_GB2312" w:cs="仿宋_GB2312"/>
          <w:sz w:val="21"/>
          <w:szCs w:val="21"/>
          <w:lang w:val="en-US" w:eastAsia="zh-CN" w:bidi="ar-SA"/>
        </w:rPr>
        <w:t xml:space="preserve"> 填报日期：2018年6月1日</w:t>
      </w:r>
    </w:p>
    <w:tbl>
      <w:tblPr>
        <w:tblStyle w:val="4"/>
        <w:tblpPr w:leftFromText="180" w:rightFromText="180" w:vertAnchor="text" w:horzAnchor="page" w:tblpX="1179" w:tblpY="187"/>
        <w:tblOverlap w:val="never"/>
        <w:tblW w:w="15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71"/>
        <w:gridCol w:w="1140"/>
        <w:gridCol w:w="1426"/>
        <w:gridCol w:w="1642"/>
        <w:gridCol w:w="1004"/>
        <w:gridCol w:w="3910"/>
        <w:gridCol w:w="1573"/>
        <w:gridCol w:w="1471"/>
        <w:gridCol w:w="1320"/>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序号</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行政处罚决定书文号</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color w:val="333333"/>
                <w:sz w:val="24"/>
                <w:szCs w:val="24"/>
                <w:lang w:bidi="ar-SA"/>
              </w:rPr>
              <w:t>案件名称</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违法企业名称或违法自然人姓名</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违法企业组织机构代码</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法定代表人姓名</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主要违法事实</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行政处罚的种类和依据</w:t>
            </w:r>
          </w:p>
        </w:tc>
        <w:tc>
          <w:tcPr>
            <w:tcW w:w="1471"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行政处罚的履行方式和期限</w:t>
            </w:r>
          </w:p>
        </w:tc>
        <w:tc>
          <w:tcPr>
            <w:tcW w:w="1320"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做出处罚的机关名称和日期</w:t>
            </w:r>
          </w:p>
        </w:tc>
        <w:tc>
          <w:tcPr>
            <w:tcW w:w="387" w:type="dxa"/>
            <w:vAlign w:val="center"/>
          </w:tcPr>
          <w:p>
            <w:pPr>
              <w:pStyle w:val="5"/>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color w:val="333333"/>
                <w:sz w:val="21"/>
                <w:szCs w:val="21"/>
                <w:lang w:bidi="ar-SA"/>
              </w:rPr>
              <w:t>备</w:t>
            </w:r>
          </w:p>
          <w:p>
            <w:pPr>
              <w:pStyle w:val="5"/>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sz w:val="21"/>
                <w:szCs w:val="21"/>
                <w:lang w:bidi="ar-S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trPr>
        <w:tc>
          <w:tcPr>
            <w:tcW w:w="4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sz w:val="24"/>
                <w:szCs w:val="24"/>
                <w:lang w:val="en-US" w:eastAsia="zh-CN" w:bidi="ar-SA"/>
              </w:rPr>
            </w:pPr>
            <w:r>
              <w:rPr>
                <w:rFonts w:hint="eastAsia" w:ascii="仿宋_GB2312" w:eastAsia="仿宋_GB2312" w:cs="仿宋_GB2312"/>
                <w:sz w:val="24"/>
                <w:szCs w:val="24"/>
                <w:lang w:val="en-US" w:eastAsia="zh-CN" w:bidi="ar-SA"/>
              </w:rPr>
              <w:t>1</w:t>
            </w:r>
          </w:p>
        </w:tc>
        <w:tc>
          <w:tcPr>
            <w:tcW w:w="1071" w:type="dxa"/>
            <w:vAlign w:val="center"/>
          </w:tcPr>
          <w:p>
            <w:pPr>
              <w:autoSpaceDE w:val="0"/>
              <w:autoSpaceDN w:val="0"/>
              <w:adjustRightInd w:val="0"/>
              <w:spacing w:before="159" w:beforeLines="50"/>
              <w:rPr>
                <w:rFonts w:hint="eastAsia" w:ascii="仿宋_GB2312" w:eastAsia="仿宋_GB2312"/>
                <w:color w:val="000000"/>
                <w:kern w:val="0"/>
                <w:szCs w:val="21"/>
              </w:rPr>
            </w:pPr>
            <w:r>
              <w:rPr>
                <w:rFonts w:hint="eastAsia" w:ascii="仿宋_GB2312" w:eastAsia="仿宋_GB2312"/>
                <w:color w:val="000000"/>
                <w:sz w:val="20"/>
              </w:rPr>
              <w:t>（</w:t>
            </w:r>
            <w:r>
              <w:rPr>
                <w:rFonts w:hint="eastAsia" w:ascii="仿宋_GB2312" w:eastAsia="仿宋_GB2312" w:cs="仿宋"/>
                <w:color w:val="000000"/>
                <w:szCs w:val="21"/>
                <w:lang w:bidi="ar-SA"/>
              </w:rPr>
              <w:t>贵</w:t>
            </w:r>
            <w:r>
              <w:rPr>
                <w:rFonts w:hint="eastAsia" w:ascii="仿宋_GB2312" w:eastAsia="仿宋_GB2312"/>
                <w:color w:val="000000"/>
                <w:sz w:val="20"/>
              </w:rPr>
              <w:t>）食药监</w:t>
            </w:r>
            <w:r>
              <w:rPr>
                <w:rFonts w:hint="eastAsia" w:ascii="仿宋_GB2312" w:eastAsia="仿宋_GB2312" w:cs="仿宋"/>
                <w:color w:val="000000"/>
                <w:szCs w:val="21"/>
                <w:lang w:bidi="ar-SA"/>
              </w:rPr>
              <w:t>食</w:t>
            </w:r>
            <w:r>
              <w:rPr>
                <w:rFonts w:hint="eastAsia" w:ascii="仿宋_GB2312" w:eastAsia="仿宋_GB2312"/>
                <w:color w:val="000000"/>
                <w:kern w:val="0"/>
                <w:sz w:val="20"/>
              </w:rPr>
              <w:t>罚</w:t>
            </w:r>
            <w:r>
              <w:rPr>
                <w:rFonts w:hint="eastAsia" w:ascii="仿宋_GB2312" w:eastAsia="仿宋_GB2312"/>
                <w:color w:val="000000"/>
                <w:sz w:val="20"/>
              </w:rPr>
              <w:t>〔2018〕08</w:t>
            </w:r>
            <w:r>
              <w:rPr>
                <w:rFonts w:hint="eastAsia" w:ascii="仿宋_GB2312" w:eastAsia="仿宋_GB2312"/>
                <w:color w:val="000000"/>
                <w:kern w:val="0"/>
                <w:sz w:val="20"/>
              </w:rPr>
              <w:t>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szCs w:val="21"/>
                <w:lang w:eastAsia="zh-CN" w:bidi="ar-SA"/>
              </w:rPr>
            </w:pPr>
          </w:p>
        </w:tc>
        <w:tc>
          <w:tcPr>
            <w:tcW w:w="1140" w:type="dxa"/>
            <w:vAlign w:val="center"/>
          </w:tcPr>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香麦园蛋糕房伪造食品生产产地一案</w:t>
            </w:r>
          </w:p>
          <w:p>
            <w:pPr>
              <w:spacing w:beforeLines="50"/>
              <w:ind w:left="101" w:leftChars="48"/>
              <w:rPr>
                <w:rFonts w:hint="eastAsia" w:ascii="仿宋_GB2312" w:hAnsi="仿宋" w:eastAsia="仿宋_GB2312"/>
                <w:color w:val="000000"/>
                <w:szCs w:val="21"/>
                <w:lang w:val="en-US" w:eastAsia="zh-CN"/>
              </w:rPr>
            </w:pPr>
          </w:p>
        </w:tc>
        <w:tc>
          <w:tcPr>
            <w:tcW w:w="1426" w:type="dxa"/>
            <w:vAlign w:val="center"/>
          </w:tcPr>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贵德县香麦园蛋糕房</w:t>
            </w:r>
          </w:p>
        </w:tc>
        <w:tc>
          <w:tcPr>
            <w:tcW w:w="1642" w:type="dxa"/>
            <w:vAlign w:val="center"/>
          </w:tcPr>
          <w:p>
            <w:pPr>
              <w:spacing w:beforeLines="50"/>
              <w:ind w:left="101" w:leftChars="48"/>
              <w:rPr>
                <w:rFonts w:hint="eastAsia" w:ascii="仿宋_GB2312" w:hAnsi="仿宋" w:eastAsia="仿宋_GB2312"/>
                <w:color w:val="000000"/>
                <w:szCs w:val="21"/>
                <w:lang w:val="en-US" w:eastAsia="zh-CN"/>
              </w:rPr>
            </w:pPr>
          </w:p>
        </w:tc>
        <w:tc>
          <w:tcPr>
            <w:tcW w:w="1004" w:type="dxa"/>
            <w:vAlign w:val="center"/>
          </w:tcPr>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王统莲</w:t>
            </w:r>
          </w:p>
          <w:p>
            <w:pPr>
              <w:spacing w:beforeLines="50"/>
              <w:ind w:left="101" w:leftChars="48"/>
              <w:rPr>
                <w:rFonts w:hint="eastAsia" w:ascii="仿宋_GB2312" w:hAnsi="仿宋" w:eastAsia="仿宋_GB2312"/>
                <w:color w:val="000000"/>
                <w:szCs w:val="21"/>
                <w:lang w:val="en-US" w:eastAsia="zh-CN"/>
              </w:rPr>
            </w:pPr>
          </w:p>
        </w:tc>
        <w:tc>
          <w:tcPr>
            <w:tcW w:w="3910" w:type="dxa"/>
            <w:vAlign w:val="center"/>
          </w:tcPr>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2018年03月21日，，我州局执法人员在贵南县过马营寄宿制学校检查时发现，由贵德县香麦园蛋糕房配送的油饼，厂名厂址不符，厂址为贵德县河阴镇郭拉村，当事人于2017年9月上交食品生产加工许可证，并上交停产报告，经调查当事人是在位于贵德县河阴镇旧西街的香麦园蛋糕店加工了这批油饼并进行配送。</w:t>
            </w:r>
          </w:p>
        </w:tc>
        <w:tc>
          <w:tcPr>
            <w:tcW w:w="1573" w:type="dxa"/>
            <w:vAlign w:val="center"/>
          </w:tcPr>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行政处罚的种类：罚款</w:t>
            </w:r>
          </w:p>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依据：《中华人民共和国产品质量法》五十三条</w:t>
            </w:r>
          </w:p>
        </w:tc>
        <w:tc>
          <w:tcPr>
            <w:tcW w:w="14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right="0" w:firstLine="0"/>
              <w:jc w:val="center"/>
              <w:textAlignment w:val="auto"/>
              <w:rPr>
                <w:rFonts w:hint="eastAsia" w:ascii="仿宋_GB2312" w:eastAsia="仿宋_GB2312" w:cs="仿宋_GB2312"/>
                <w:sz w:val="18"/>
                <w:szCs w:val="18"/>
                <w:lang w:eastAsia="zh-CN" w:bidi="ar-SA"/>
              </w:rPr>
            </w:pPr>
            <w:r>
              <w:rPr>
                <w:rFonts w:hint="eastAsia" w:ascii="仿宋_GB2312" w:eastAsia="仿宋_GB2312" w:cs="仿宋_GB2312"/>
                <w:color w:val="000000"/>
                <w:kern w:val="0"/>
                <w:sz w:val="18"/>
                <w:szCs w:val="18"/>
                <w:lang w:val="en-US" w:eastAsia="zh-CN" w:bidi="ar-SA"/>
              </w:rPr>
              <w:t>接到本处罚决定书之日起</w:t>
            </w:r>
            <w:r>
              <w:rPr>
                <w:rFonts w:hint="eastAsia" w:ascii="仿宋_GB2312" w:eastAsia="仿宋_GB2312" w:cs="仿宋"/>
                <w:color w:val="000000"/>
                <w:kern w:val="0"/>
                <w:sz w:val="18"/>
                <w:szCs w:val="18"/>
                <w:lang w:val="en-US" w:eastAsia="zh-CN" w:bidi="ar-SA"/>
              </w:rPr>
              <w:t>15日内将罚没款缴到</w:t>
            </w:r>
            <w:r>
              <w:rPr>
                <w:rFonts w:hint="eastAsia" w:ascii="仿宋_GB2312" w:eastAsia="仿宋_GB2312" w:cs="仿宋_GB2312"/>
                <w:color w:val="000000"/>
                <w:kern w:val="2"/>
                <w:sz w:val="18"/>
                <w:szCs w:val="18"/>
                <w:lang w:val="en-US" w:eastAsia="zh-CN" w:bidi="ar-SA"/>
              </w:rPr>
              <w:t>贵德县建设</w:t>
            </w:r>
            <w:r>
              <w:rPr>
                <w:rFonts w:hint="eastAsia" w:ascii="仿宋_GB2312" w:eastAsia="仿宋_GB2312" w:cs="仿宋_GB2312"/>
                <w:color w:val="000000"/>
                <w:kern w:val="0"/>
                <w:sz w:val="18"/>
                <w:szCs w:val="18"/>
                <w:lang w:val="en-US" w:eastAsia="zh-CN" w:bidi="ar-SA"/>
              </w:rPr>
              <w:t>银行（贵德县财政局罚没款国库账号）。</w:t>
            </w:r>
          </w:p>
        </w:tc>
        <w:tc>
          <w:tcPr>
            <w:tcW w:w="1320"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left"/>
              <w:textAlignment w:val="auto"/>
              <w:rPr>
                <w:rFonts w:hint="eastAsia" w:ascii="仿宋_GB2312" w:eastAsia="仿宋_GB2312" w:cs="仿宋_GB2312"/>
                <w:sz w:val="21"/>
                <w:szCs w:val="21"/>
                <w:lang w:val="en-US" w:eastAsia="zh-CN" w:bidi="ar-SA"/>
              </w:rPr>
            </w:pPr>
            <w:r>
              <w:rPr>
                <w:rFonts w:hint="eastAsia" w:ascii="仿宋_GB2312" w:eastAsia="仿宋_GB2312" w:cs="仿宋_GB2312"/>
                <w:sz w:val="21"/>
                <w:szCs w:val="21"/>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right="0" w:firstLine="0"/>
              <w:jc w:val="left"/>
              <w:textAlignment w:val="auto"/>
              <w:rPr>
                <w:rFonts w:hint="eastAsia" w:ascii="仿宋_GB2312" w:eastAsia="仿宋_GB2312" w:cs="仿宋_GB2312"/>
                <w:sz w:val="21"/>
                <w:szCs w:val="21"/>
                <w:lang w:val="en-US" w:eastAsia="zh-CN" w:bidi="ar-SA"/>
              </w:rPr>
            </w:pPr>
            <w:r>
              <w:rPr>
                <w:rFonts w:hint="eastAsia" w:ascii="仿宋_GB2312" w:eastAsia="仿宋_GB2312" w:cs="仿宋_GB2312"/>
                <w:sz w:val="21"/>
                <w:szCs w:val="21"/>
                <w:lang w:val="en-US" w:eastAsia="zh-CN" w:bidi="ar-SA"/>
              </w:rPr>
              <w:t>日期：2018年4月4日</w:t>
            </w:r>
          </w:p>
        </w:tc>
        <w:tc>
          <w:tcPr>
            <w:tcW w:w="387"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454" w:type="dxa"/>
            <w:vAlign w:val="center"/>
          </w:tcPr>
          <w:p>
            <w:pPr>
              <w:keepNext w:val="0"/>
              <w:keepLines w:val="0"/>
              <w:pageBreakBefore w:val="0"/>
              <w:widowControl w:val="0"/>
              <w:kinsoku/>
              <w:wordWrap/>
              <w:overflowPunct/>
              <w:topLinePunct w:val="0"/>
              <w:autoSpaceDE/>
              <w:autoSpaceDN/>
              <w:adjustRightInd/>
              <w:snapToGrid/>
              <w:jc w:val="center"/>
              <w:rPr>
                <w:rFonts w:hint="eastAsia" w:ascii="仿宋_GB2312" w:eastAsia="仿宋_GB2312" w:cs="仿宋_GB2312"/>
                <w:sz w:val="24"/>
                <w:szCs w:val="24"/>
                <w:lang w:val="en-US" w:eastAsia="zh-CN" w:bidi="ar-SA"/>
              </w:rPr>
            </w:pPr>
            <w:r>
              <w:rPr>
                <w:rFonts w:hint="eastAsia" w:ascii="仿宋_GB2312" w:eastAsia="仿宋_GB2312" w:cs="仿宋_GB2312"/>
                <w:sz w:val="24"/>
                <w:szCs w:val="24"/>
                <w:lang w:val="en-US" w:eastAsia="zh-CN" w:bidi="ar-SA"/>
              </w:rPr>
              <w:t>2</w:t>
            </w:r>
          </w:p>
        </w:tc>
        <w:tc>
          <w:tcPr>
            <w:tcW w:w="1071" w:type="dxa"/>
            <w:vAlign w:val="center"/>
          </w:tcPr>
          <w:p>
            <w:pPr>
              <w:keepNext w:val="0"/>
              <w:keepLines w:val="0"/>
              <w:pageBreakBefore w:val="0"/>
              <w:widowControl w:val="0"/>
              <w:kinsoku/>
              <w:wordWrap/>
              <w:overflowPunct/>
              <w:topLinePunct w:val="0"/>
              <w:autoSpaceDE/>
              <w:autoSpaceDN/>
              <w:adjustRightInd/>
              <w:snapToGrid/>
              <w:jc w:val="center"/>
              <w:rPr>
                <w:rFonts w:hint="eastAsia" w:ascii="仿宋_GB2312" w:eastAsia="仿宋_GB2312" w:cs="仿宋_GB2312"/>
                <w:sz w:val="18"/>
                <w:szCs w:val="18"/>
                <w:lang w:eastAsia="zh-CN" w:bidi="ar-SA"/>
              </w:rPr>
            </w:pPr>
            <w:r>
              <w:rPr>
                <w:rFonts w:hint="eastAsia" w:ascii="仿宋_GB2312" w:hAnsi="仿宋" w:eastAsia="仿宋_GB2312"/>
                <w:color w:val="000000"/>
                <w:sz w:val="20"/>
              </w:rPr>
              <w:t>（</w:t>
            </w:r>
            <w:r>
              <w:rPr>
                <w:rFonts w:hint="eastAsia" w:ascii="仿宋_GB2312" w:hAnsi="仿宋" w:eastAsia="仿宋_GB2312" w:cs="仿宋"/>
                <w:color w:val="000000"/>
                <w:szCs w:val="21"/>
                <w:lang w:eastAsia="zh-CN"/>
              </w:rPr>
              <w:t>贵</w:t>
            </w:r>
            <w:r>
              <w:rPr>
                <w:rFonts w:hint="eastAsia" w:ascii="仿宋_GB2312" w:hAnsi="仿宋" w:eastAsia="仿宋_GB2312"/>
                <w:color w:val="000000"/>
                <w:sz w:val="20"/>
              </w:rPr>
              <w:t>）食药监</w:t>
            </w:r>
            <w:r>
              <w:rPr>
                <w:rFonts w:hint="eastAsia" w:ascii="仿宋_GB2312" w:hAnsi="仿宋" w:eastAsia="仿宋_GB2312"/>
                <w:color w:val="000000"/>
                <w:sz w:val="20"/>
                <w:lang w:eastAsia="zh-CN"/>
              </w:rPr>
              <w:t>食</w:t>
            </w:r>
            <w:r>
              <w:rPr>
                <w:rFonts w:hint="eastAsia" w:ascii="仿宋_GB2312" w:hAnsi="仿宋" w:eastAsia="仿宋_GB2312"/>
                <w:color w:val="000000"/>
                <w:kern w:val="0"/>
                <w:sz w:val="20"/>
              </w:rPr>
              <w:t>罚</w:t>
            </w:r>
            <w:r>
              <w:rPr>
                <w:rFonts w:hint="eastAsia" w:ascii="仿宋_GB2312" w:hAnsi="仿宋" w:eastAsia="仿宋_GB2312"/>
                <w:color w:val="000000"/>
                <w:sz w:val="20"/>
              </w:rPr>
              <w:t>〔</w:t>
            </w:r>
            <w:r>
              <w:rPr>
                <w:rFonts w:hint="eastAsia" w:ascii="仿宋_GB2312" w:hAnsi="仿宋" w:eastAsia="仿宋_GB2312"/>
                <w:color w:val="000000"/>
                <w:sz w:val="20"/>
                <w:lang w:val="en-US" w:eastAsia="zh-CN"/>
              </w:rPr>
              <w:t>2018</w:t>
            </w:r>
            <w:r>
              <w:rPr>
                <w:rFonts w:hint="eastAsia" w:ascii="仿宋_GB2312" w:hAnsi="仿宋" w:eastAsia="仿宋_GB2312"/>
                <w:color w:val="000000"/>
                <w:sz w:val="20"/>
              </w:rPr>
              <w:t>〕</w:t>
            </w:r>
            <w:r>
              <w:rPr>
                <w:rFonts w:hint="eastAsia" w:ascii="仿宋_GB2312" w:hAnsi="仿宋" w:eastAsia="仿宋_GB2312" w:cs="仿宋"/>
                <w:color w:val="000000"/>
                <w:szCs w:val="21"/>
                <w:lang w:val="en-US" w:eastAsia="zh-CN"/>
              </w:rPr>
              <w:t>9</w:t>
            </w:r>
            <w:r>
              <w:rPr>
                <w:rFonts w:hint="eastAsia" w:ascii="仿宋_GB2312" w:hAnsi="仿宋" w:eastAsia="仿宋_GB2312"/>
                <w:color w:val="000000"/>
                <w:kern w:val="0"/>
                <w:sz w:val="20"/>
              </w:rPr>
              <w:t>号</w:t>
            </w:r>
          </w:p>
        </w:tc>
        <w:tc>
          <w:tcPr>
            <w:tcW w:w="1140" w:type="dxa"/>
            <w:vAlign w:val="center"/>
          </w:tcPr>
          <w:p>
            <w:pPr>
              <w:spacing w:before="159" w:beforeLines="50" w:line="360" w:lineRule="auto"/>
              <w:ind w:left="0"/>
              <w:jc w:val="center"/>
              <w:rPr>
                <w:rFonts w:hint="eastAsia"/>
                <w:vertAlign w:val="baseline"/>
                <w:lang w:val="en-US" w:eastAsia="zh-CN"/>
              </w:rPr>
            </w:pPr>
            <w:r>
              <w:rPr>
                <w:rFonts w:hint="eastAsia" w:ascii="仿宋_GB2312" w:hAnsi="仿宋" w:eastAsia="仿宋_GB2312"/>
                <w:color w:val="000000"/>
                <w:szCs w:val="21"/>
                <w:lang w:val="en-US" w:eastAsia="zh-CN"/>
              </w:rPr>
              <w:t>杨武屯涉嫌销售不合格水果案</w:t>
            </w:r>
          </w:p>
        </w:tc>
        <w:tc>
          <w:tcPr>
            <w:tcW w:w="1426" w:type="dxa"/>
            <w:vAlign w:val="center"/>
          </w:tcPr>
          <w:p>
            <w:pPr>
              <w:keepNext w:val="0"/>
              <w:keepLines w:val="0"/>
              <w:pageBreakBefore w:val="0"/>
              <w:widowControl w:val="0"/>
              <w:kinsoku/>
              <w:wordWrap/>
              <w:overflowPunct/>
              <w:topLinePunct w:val="0"/>
              <w:autoSpaceDE/>
              <w:autoSpaceDN/>
              <w:adjustRightInd/>
              <w:snapToGrid/>
              <w:jc w:val="center"/>
              <w:rPr>
                <w:rFonts w:hint="eastAsia" w:ascii="仿宋_GB2312" w:eastAsia="仿宋_GB2312" w:cs="仿宋_GB2312"/>
                <w:sz w:val="18"/>
                <w:szCs w:val="18"/>
                <w:lang w:eastAsia="zh-CN" w:bidi="ar-SA"/>
              </w:rPr>
            </w:pPr>
            <w:r>
              <w:rPr>
                <w:rFonts w:hint="eastAsia" w:ascii="仿宋_GB2312" w:hAnsi="仿宋" w:eastAsia="仿宋_GB2312"/>
                <w:color w:val="000000"/>
                <w:szCs w:val="21"/>
                <w:lang w:val="en-US" w:eastAsia="zh-CN"/>
              </w:rPr>
              <w:t>贵德县客多多新鲜大肉蔬菜店</w:t>
            </w:r>
          </w:p>
        </w:tc>
        <w:tc>
          <w:tcPr>
            <w:tcW w:w="1642" w:type="dxa"/>
            <w:vAlign w:val="center"/>
          </w:tcPr>
          <w:p>
            <w:pPr>
              <w:keepNext w:val="0"/>
              <w:keepLines w:val="0"/>
              <w:pageBreakBefore w:val="0"/>
              <w:widowControl w:val="0"/>
              <w:kinsoku/>
              <w:wordWrap/>
              <w:overflowPunct/>
              <w:topLinePunct w:val="0"/>
              <w:autoSpaceDE/>
              <w:autoSpaceDN/>
              <w:adjustRightInd/>
              <w:snapToGrid/>
              <w:jc w:val="center"/>
              <w:rPr>
                <w:rFonts w:hint="eastAsia" w:ascii="仿宋_GB2312" w:eastAsia="仿宋_GB2312" w:cs="仿宋_GB2312"/>
                <w:sz w:val="24"/>
                <w:szCs w:val="24"/>
                <w:lang w:val="en-US" w:eastAsia="zh-CN" w:bidi="ar-SA"/>
              </w:rPr>
            </w:pPr>
          </w:p>
        </w:tc>
        <w:tc>
          <w:tcPr>
            <w:tcW w:w="1004" w:type="dxa"/>
            <w:vAlign w:val="center"/>
          </w:tcPr>
          <w:p>
            <w:pPr>
              <w:keepNext w:val="0"/>
              <w:keepLines w:val="0"/>
              <w:pageBreakBefore w:val="0"/>
              <w:widowControl w:val="0"/>
              <w:kinsoku/>
              <w:wordWrap/>
              <w:overflowPunct/>
              <w:topLinePunct w:val="0"/>
              <w:autoSpaceDE/>
              <w:autoSpaceDN/>
              <w:adjustRightInd/>
              <w:snapToGrid/>
              <w:jc w:val="center"/>
              <w:rPr>
                <w:rFonts w:hint="eastAsia" w:ascii="仿宋_GB2312" w:eastAsia="仿宋_GB2312" w:cs="仿宋_GB2312"/>
                <w:sz w:val="24"/>
                <w:szCs w:val="24"/>
                <w:lang w:eastAsia="zh-CN" w:bidi="ar-SA"/>
              </w:rPr>
            </w:pPr>
            <w:r>
              <w:rPr>
                <w:rFonts w:hint="eastAsia" w:ascii="仿宋_GB2312" w:hAnsi="仿宋" w:eastAsia="仿宋_GB2312"/>
                <w:color w:val="000000"/>
                <w:szCs w:val="21"/>
                <w:lang w:val="en-US" w:eastAsia="zh-CN"/>
              </w:rPr>
              <w:t>杨武屯</w:t>
            </w:r>
          </w:p>
        </w:tc>
        <w:tc>
          <w:tcPr>
            <w:tcW w:w="3910" w:type="dxa"/>
            <w:vAlign w:val="center"/>
          </w:tcPr>
          <w:p>
            <w:pPr>
              <w:spacing w:beforeLines="50"/>
              <w:ind w:left="101" w:leftChars="48"/>
              <w:rPr>
                <w:rFonts w:hint="eastAsia" w:ascii="仿宋_GB2312" w:hAnsi="仿宋" w:eastAsia="仿宋_GB2312"/>
                <w:color w:val="000000"/>
                <w:szCs w:val="21"/>
                <w:lang w:val="en-US" w:eastAsia="zh-CN"/>
              </w:rPr>
            </w:pPr>
            <w:r>
              <w:rPr>
                <w:rFonts w:hint="eastAsia" w:ascii="仿宋_GB2312" w:hAnsi="仿宋" w:eastAsia="仿宋_GB2312"/>
                <w:color w:val="000000"/>
                <w:szCs w:val="21"/>
                <w:lang w:val="en-US" w:eastAsia="zh-CN"/>
              </w:rPr>
              <w:t>2018年3月19日，我局委托深圳通量检测科技有限公司，对被检测单位贵德县客多多新鲜大肉蔬菜店里的水果蔬菜进行抽样检测。2018年3月28日，我局收到深圳通量检测科技有限公司出具的“报告编号（report NO）：18006114”检验报告，检验结果显示，金桔（春天桔）所检项目中“克百威”不符合GB2763-2016《食品安全国家标准 食品中农药最大残留限量》标准要求，检验结论为不合格。</w:t>
            </w:r>
          </w:p>
          <w:p>
            <w:pPr>
              <w:keepNext w:val="0"/>
              <w:keepLines w:val="0"/>
              <w:pageBreakBefore w:val="0"/>
              <w:widowControl w:val="0"/>
              <w:kinsoku/>
              <w:wordWrap/>
              <w:overflowPunct/>
              <w:topLinePunct w:val="0"/>
              <w:autoSpaceDE/>
              <w:autoSpaceDN/>
              <w:adjustRightInd/>
              <w:snapToGrid/>
              <w:jc w:val="left"/>
              <w:rPr>
                <w:rFonts w:hint="eastAsia" w:ascii="仿宋_GB2312" w:eastAsia="仿宋_GB2312" w:cs="仿宋_GB2312"/>
                <w:sz w:val="18"/>
                <w:szCs w:val="18"/>
                <w:lang w:val="en-US" w:eastAsia="zh-CN" w:bidi="ar-SA"/>
              </w:rPr>
            </w:pPr>
          </w:p>
        </w:tc>
        <w:tc>
          <w:tcPr>
            <w:tcW w:w="1573" w:type="dxa"/>
            <w:vAlign w:val="center"/>
          </w:tcPr>
          <w:p>
            <w:pPr>
              <w:autoSpaceDE w:val="0"/>
              <w:autoSpaceDN w:val="0"/>
              <w:adjustRightInd w:val="0"/>
              <w:spacing w:line="440" w:lineRule="exact"/>
              <w:jc w:val="lef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依据</w:t>
            </w:r>
            <w:r>
              <w:rPr>
                <w:rFonts w:hint="eastAsia" w:ascii="仿宋_GB2312" w:hAnsi="仿宋" w:eastAsia="仿宋_GB2312" w:cs="仿宋"/>
                <w:color w:val="000000"/>
                <w:spacing w:val="-4"/>
                <w:kern w:val="0"/>
                <w:szCs w:val="21"/>
                <w:lang w:eastAsia="zh-CN"/>
              </w:rPr>
              <w:t>《</w:t>
            </w:r>
            <w:r>
              <w:rPr>
                <w:rFonts w:hint="eastAsia" w:ascii="仿宋_GB2312" w:hAnsi="仿宋" w:eastAsia="仿宋_GB2312"/>
                <w:color w:val="000000"/>
                <w:kern w:val="0"/>
                <w:szCs w:val="21"/>
              </w:rPr>
              <w:t>中华人民共和国行政处罚法》第六条第一款、第三十一条</w:t>
            </w:r>
            <w:r>
              <w:rPr>
                <w:rFonts w:hint="eastAsia" w:ascii="仿宋_GB2312" w:hAnsi="仿宋" w:eastAsia="仿宋_GB2312"/>
                <w:color w:val="000000"/>
                <w:kern w:val="0"/>
                <w:szCs w:val="21"/>
                <w:lang w:eastAsia="zh-CN"/>
              </w:rPr>
              <w:t>。</w:t>
            </w:r>
          </w:p>
          <w:p>
            <w:pPr>
              <w:autoSpaceDE w:val="0"/>
              <w:autoSpaceDN w:val="0"/>
              <w:adjustRightInd w:val="0"/>
              <w:spacing w:line="440" w:lineRule="exact"/>
              <w:jc w:val="left"/>
              <w:rPr>
                <w:rFonts w:hint="eastAsia" w:ascii="仿宋_GB2312" w:hAnsi="仿宋" w:eastAsia="仿宋_GB2312" w:cs="仿宋"/>
                <w:color w:val="000000"/>
                <w:kern w:val="0"/>
                <w:szCs w:val="21"/>
                <w:u w:val="single"/>
              </w:rPr>
            </w:pPr>
            <w:r>
              <w:rPr>
                <w:rFonts w:hint="eastAsia" w:ascii="仿宋_GB2312" w:hAnsi="仿宋" w:eastAsia="仿宋_GB2312" w:cs="仿宋"/>
                <w:color w:val="000000"/>
                <w:kern w:val="0"/>
                <w:szCs w:val="21"/>
              </w:rPr>
              <w:t xml:space="preserve">     </w:t>
            </w:r>
          </w:p>
          <w:p>
            <w:pPr>
              <w:keepNext w:val="0"/>
              <w:keepLines w:val="0"/>
              <w:pageBreakBefore w:val="0"/>
              <w:widowControl w:val="0"/>
              <w:kinsoku/>
              <w:wordWrap/>
              <w:overflowPunct/>
              <w:topLinePunct w:val="0"/>
              <w:autoSpaceDE/>
              <w:autoSpaceDN/>
              <w:adjustRightInd/>
              <w:snapToGrid/>
              <w:jc w:val="center"/>
              <w:rPr>
                <w:rFonts w:hint="eastAsia" w:ascii="宋体" w:cs="仿宋_GB2312"/>
                <w:color w:val="000000"/>
                <w:sz w:val="18"/>
                <w:szCs w:val="18"/>
                <w:lang w:val="en-US" w:eastAsia="zh-CN" w:bidi="ar-SA"/>
              </w:rPr>
            </w:pPr>
          </w:p>
        </w:tc>
        <w:tc>
          <w:tcPr>
            <w:tcW w:w="1471" w:type="dxa"/>
            <w:vAlign w:val="center"/>
          </w:tcPr>
          <w:p>
            <w:pPr>
              <w:keepNext w:val="0"/>
              <w:keepLines w:val="0"/>
              <w:pageBreakBefore w:val="0"/>
              <w:widowControl w:val="0"/>
              <w:kinsoku/>
              <w:wordWrap/>
              <w:overflowPunct/>
              <w:topLinePunct w:val="0"/>
              <w:snapToGrid/>
              <w:jc w:val="center"/>
              <w:rPr>
                <w:rFonts w:hint="eastAsia" w:ascii="仿宋_GB2312" w:eastAsia="仿宋_GB2312" w:cs="仿宋_GB2312"/>
                <w:sz w:val="21"/>
                <w:szCs w:val="21"/>
                <w:lang w:eastAsia="zh-CN" w:bidi="ar-SA"/>
              </w:rPr>
            </w:pPr>
            <w:r>
              <w:rPr>
                <w:rFonts w:hint="eastAsia" w:ascii="仿宋_GB2312" w:eastAsia="仿宋_GB2312" w:cs="仿宋_GB2312"/>
                <w:sz w:val="21"/>
                <w:szCs w:val="21"/>
                <w:lang w:eastAsia="zh-CN" w:bidi="ar-SA"/>
              </w:rPr>
              <w:t>警告</w:t>
            </w:r>
          </w:p>
        </w:tc>
        <w:tc>
          <w:tcPr>
            <w:tcW w:w="1320"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left"/>
              <w:textAlignment w:val="auto"/>
              <w:rPr>
                <w:rFonts w:hint="eastAsia" w:ascii="仿宋_GB2312" w:eastAsia="仿宋_GB2312" w:cs="仿宋_GB2312"/>
                <w:sz w:val="21"/>
                <w:szCs w:val="21"/>
                <w:lang w:val="en-US" w:eastAsia="zh-CN" w:bidi="ar-SA"/>
              </w:rPr>
            </w:pPr>
            <w:r>
              <w:rPr>
                <w:rFonts w:hint="eastAsia" w:ascii="仿宋_GB2312" w:eastAsia="仿宋_GB2312" w:cs="仿宋_GB2312"/>
                <w:sz w:val="21"/>
                <w:szCs w:val="21"/>
                <w:lang w:val="en-US" w:eastAsia="zh-CN" w:bidi="ar-SA"/>
              </w:rPr>
              <w:t>贵德县食品药品监督管理局</w:t>
            </w:r>
          </w:p>
          <w:p>
            <w:pPr>
              <w:keepNext w:val="0"/>
              <w:keepLines w:val="0"/>
              <w:pageBreakBefore w:val="0"/>
              <w:widowControl w:val="0"/>
              <w:kinsoku/>
              <w:wordWrap/>
              <w:overflowPunct/>
              <w:topLinePunct w:val="0"/>
              <w:snapToGrid/>
              <w:jc w:val="center"/>
              <w:rPr>
                <w:rFonts w:hint="eastAsia" w:ascii="仿宋_GB2312" w:eastAsia="仿宋_GB2312" w:cs="仿宋_GB2312"/>
                <w:sz w:val="21"/>
                <w:szCs w:val="21"/>
                <w:lang w:val="en-US" w:eastAsia="zh-CN" w:bidi="ar-SA"/>
              </w:rPr>
            </w:pPr>
            <w:r>
              <w:rPr>
                <w:rFonts w:hint="eastAsia" w:ascii="仿宋_GB2312" w:eastAsia="仿宋_GB2312" w:cs="仿宋_GB2312"/>
                <w:sz w:val="21"/>
                <w:szCs w:val="21"/>
                <w:lang w:val="en-US" w:eastAsia="zh-CN" w:bidi="ar-SA"/>
              </w:rPr>
              <w:t>日期：</w:t>
            </w:r>
            <w:r>
              <w:rPr>
                <w:rFonts w:hint="eastAsia" w:ascii="仿宋_GB2312" w:hAnsi="仿宋" w:eastAsia="仿宋_GB2312"/>
                <w:color w:val="000000"/>
                <w:szCs w:val="21"/>
                <w:lang w:val="en-US" w:eastAsia="zh-CN"/>
              </w:rPr>
              <w:t>2018年04月04日</w:t>
            </w:r>
          </w:p>
        </w:tc>
        <w:tc>
          <w:tcPr>
            <w:tcW w:w="387" w:type="dxa"/>
            <w:vAlign w:val="center"/>
          </w:tcPr>
          <w:p>
            <w:pPr>
              <w:keepNext w:val="0"/>
              <w:keepLines w:val="0"/>
              <w:pageBreakBefore w:val="0"/>
              <w:widowControl w:val="0"/>
              <w:kinsoku/>
              <w:wordWrap/>
              <w:overflowPunct/>
              <w:topLinePunct w:val="0"/>
              <w:snapToGrid/>
              <w:jc w:val="center"/>
              <w:rPr>
                <w:rFonts w:hint="eastAsia" w:ascii="仿宋_GB2312" w:eastAsia="仿宋_GB2312" w:cs="仿宋_GB2312"/>
                <w:sz w:val="21"/>
                <w:szCs w:val="21"/>
                <w:lang w:bidi="ar-SA"/>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60956"/>
    <w:rsid w:val="439609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customStyle="1" w:styleId="5">
    <w:name w:val="reader-word-layer reader-word-s6-7"/>
    <w:next w:val="2"/>
    <w:qFormat/>
    <w:uiPriority w:val="0"/>
    <w:pPr>
      <w:widowControl/>
      <w:spacing w:before="100" w:beforeAutospacing="1" w:after="100" w:afterAutospacing="1"/>
      <w:jc w:val="left"/>
    </w:pPr>
    <w:rPr>
      <w:rFonts w:ascii="宋体" w:eastAsia="宋体" w:cs="宋体" w:hAnsiTheme="minorHAnsi"/>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2018-06-05T01:06:00Z</dcterms:created>
  <dc:creator>Administrator</dc:creator>
  <cp:lastModifiedBy>Administrator</cp:lastModifiedBy>
  <dcterms:modified xsi:type="dcterms:W3CDTF">2018-06-05T01:07:27Z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