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5"/>
        <w:tblW w:w="1479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05"/>
        <w:gridCol w:w="1304"/>
        <w:gridCol w:w="1426"/>
        <w:gridCol w:w="1425"/>
        <w:gridCol w:w="1200"/>
        <w:gridCol w:w="3434"/>
        <w:gridCol w:w="1294"/>
        <w:gridCol w:w="1068"/>
        <w:gridCol w:w="105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序号</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行政处罚决定书文号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color w:val="333333"/>
                <w:sz w:val="24"/>
                <w:szCs w:val="24"/>
              </w:rPr>
              <w:t>案件名称</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违法企业名称或违法自然人姓名</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w:t>
            </w:r>
            <w:r>
              <w:rPr>
                <w:rFonts w:hint="eastAsia" w:ascii="仿宋_GB2312" w:hAnsi="仿宋_GB2312" w:eastAsia="仿宋_GB2312" w:cs="仿宋_GB2312"/>
                <w:b/>
                <w:sz w:val="24"/>
                <w:szCs w:val="24"/>
                <w:lang w:eastAsia="zh-CN"/>
              </w:rPr>
              <w:t>许可证号</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法定代表人姓名</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主要违法事实</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行政处罚的种类和依据</w:t>
            </w:r>
          </w:p>
        </w:tc>
        <w:tc>
          <w:tcPr>
            <w:tcW w:w="1068"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行政处罚的履行方式和期限</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做出处罚的机关名称和日期</w:t>
            </w:r>
          </w:p>
        </w:tc>
        <w:tc>
          <w:tcPr>
            <w:tcW w:w="819" w:type="dxa"/>
            <w:vAlign w:val="center"/>
          </w:tcPr>
          <w:p>
            <w:pPr>
              <w:pStyle w:val="6"/>
              <w:keepNext w:val="0"/>
              <w:keepLines w:val="0"/>
              <w:pageBreakBefore w:val="0"/>
              <w:shd w:val="clear" w:color="auto" w:fill="FCFCFC"/>
              <w:kinsoku/>
              <w:wordWrap/>
              <w:overflowPunct/>
              <w:topLinePunct w:val="0"/>
              <w:bidi w:val="0"/>
              <w:snapToGrid/>
              <w:spacing w:before="0" w:beforeAutospacing="0" w:after="0" w:afterAutospacing="0" w:line="240" w:lineRule="auto"/>
              <w:ind w:leftChars="0" w:right="0" w:rightChars="0" w:firstLine="0" w:firstLineChars="0"/>
              <w:jc w:val="center"/>
              <w:textAlignment w:val="auto"/>
              <w:rPr>
                <w:rFonts w:hint="eastAsia" w:ascii="仿宋_GB2312" w:hAnsi="仿宋_GB2312" w:eastAsia="仿宋_GB2312" w:cs="仿宋_GB2312"/>
                <w:b/>
                <w:color w:val="333333"/>
                <w:sz w:val="21"/>
                <w:szCs w:val="21"/>
              </w:rPr>
            </w:pPr>
            <w:r>
              <w:rPr>
                <w:rFonts w:hint="eastAsia" w:ascii="仿宋_GB2312" w:hAnsi="仿宋_GB2312" w:eastAsia="仿宋_GB2312" w:cs="仿宋_GB2312"/>
                <w:b/>
                <w:color w:val="333333"/>
                <w:sz w:val="21"/>
                <w:szCs w:val="21"/>
              </w:rPr>
              <w:t>备</w:t>
            </w:r>
          </w:p>
          <w:p>
            <w:pPr>
              <w:pStyle w:val="6"/>
              <w:keepNext w:val="0"/>
              <w:keepLines w:val="0"/>
              <w:pageBreakBefore w:val="0"/>
              <w:shd w:val="clear" w:color="auto" w:fill="FCFCFC"/>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64" w:hRule="atLeast"/>
        </w:trPr>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（贵）食药监食罚〔2017〕14号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贵德县河西丰达食品门市部未索证索票一案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贵德县河西丰达食品门市部</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张玉雄</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 年8 月9 日，我所执法人员在市场食品检查中发现贵德县河西丰达食品门市部销售的雪花啤酒（2017年5月29日和2017年6月24日两个批次) 共288件，未能提供供货商相关文件及许可证，未索证索票。随之我局执法人员同日进行了立案调查，经调查该门市部，违法事实清楚，证据确凿，违反了《中华人民共和国食品安全法》第五十三条第一款“食品经营者采购食品，应当查验供货者的许可证和食品出厂检验合格证或者其他合格证明 (以下称合格证明文件) ”的规定。</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《中华人民共和国食品安全法》第一百二十六条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处以500</w:t>
            </w:r>
            <w:r>
              <w:rPr>
                <w:rFonts w:hint="eastAsia" w:ascii="仿宋_GB2312" w:hAnsi="仿宋_GB2312" w:eastAsia="仿宋_GB2312" w:cs="仿宋_GB2312"/>
                <w:sz w:val="24"/>
                <w:szCs w:val="24"/>
                <w:vertAlign w:val="baseline"/>
                <w:lang w:val="en-US" w:eastAsia="zh-CN"/>
              </w:rPr>
              <w:t>0</w:t>
            </w:r>
            <w:r>
              <w:rPr>
                <w:rFonts w:hint="eastAsia" w:ascii="仿宋_GB2312" w:hAnsi="仿宋_GB2312" w:eastAsia="仿宋_GB2312" w:cs="仿宋_GB2312"/>
                <w:sz w:val="24"/>
                <w:szCs w:val="24"/>
                <w:vertAlign w:val="baseline"/>
                <w:lang w:eastAsia="zh-CN"/>
              </w:rPr>
              <w:t>元的罚款，当事人应当自收到处罚决定之日起15日内履行上述处罚决定。</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2017年8月30日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（贵）食药监食罚〔2017〕37号</w:t>
            </w:r>
          </w:p>
        </w:tc>
        <w:tc>
          <w:tcPr>
            <w:tcW w:w="1304" w:type="dxa"/>
            <w:vAlign w:val="center"/>
          </w:tcPr>
          <w:p>
            <w:pPr>
              <w:spacing w:before="156" w:beforeLines="5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赵志萍涉嫌未按规定建立食品台帐一案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rPr>
              <w:t>赵志萍</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rPr>
              <w:t>赵志萍</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201７年9月19日，我局执法人员在贵德县河阴镇农贸市场“当地人面条坊”进行检查，经查该店销售的“禾盛丰面粉”鲜面王小麦粉是2017年9月15日从青海农副产品集散中心仁杰粮油批发店购进，净含量25千克：数量：7袋；进价每袋89元；销售价格每袋97元，案值共计679元，均未按规定建立食品进销货台帐。</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《中华人民共和国食品安全法》第一百二十六条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警告</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4"/>
                <w:szCs w:val="24"/>
                <w:lang w:eastAsia="zh-CN"/>
              </w:rPr>
            </w:pPr>
            <w:bookmarkStart w:id="0" w:name="_GoBack"/>
            <w:r>
              <w:rPr>
                <w:rFonts w:hint="eastAsia" w:ascii="仿宋_GB2312" w:hAnsi="仿宋_GB2312" w:eastAsia="仿宋_GB2312" w:cs="仿宋_GB2312"/>
                <w:sz w:val="24"/>
                <w:szCs w:val="24"/>
                <w:lang w:eastAsia="zh-CN"/>
              </w:rPr>
              <w:t>贵德县食品药品监督管理局</w:t>
            </w:r>
          </w:p>
          <w:bookmarkEnd w:id="0"/>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2017年9月26日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swiss"/>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w:panose1 w:val="020F0502020204030204"/>
    <w:charset w:val="86"/>
    <w:family w:val="swiss"/>
    <w:pitch w:val="default"/>
    <w:sig w:usb0="E00002FF" w:usb1="4000ACFF" w:usb2="00000001" w:usb3="00000000" w:csb0="2000019F" w:csb1="00000000"/>
  </w:font>
  <w:font w:name="‹ÎSå">
    <w:altName w:val="微软雅黑"/>
    <w:panose1 w:val="020B0604020202020204"/>
    <w:charset w:val="00"/>
    <w:family w:val="auto"/>
    <w:pitch w:val="default"/>
    <w:sig w:usb0="00000000" w:usb1="00000000" w:usb2="00000000" w:usb3="00000000" w:csb0="00040001" w:csb1="00000000"/>
  </w:font>
  <w:font w:name="ÑÚSå">
    <w:altName w:val="微软雅黑"/>
    <w:panose1 w:val="020B0604020202020204"/>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A6ED2"/>
    <w:rsid w:val="02422560"/>
    <w:rsid w:val="026508C6"/>
    <w:rsid w:val="03FE3FA9"/>
    <w:rsid w:val="08AA6ED2"/>
    <w:rsid w:val="1B035676"/>
    <w:rsid w:val="1CD674E8"/>
    <w:rsid w:val="1FDA27F5"/>
    <w:rsid w:val="2D4878FC"/>
    <w:rsid w:val="31F41B3A"/>
    <w:rsid w:val="506D2D31"/>
    <w:rsid w:val="52951010"/>
    <w:rsid w:val="566050F9"/>
    <w:rsid w:val="5F6F7EFD"/>
    <w:rsid w:val="66377A77"/>
    <w:rsid w:val="7FE20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annotation text"/>
    <w:qFormat/>
    <w:uiPriority w:val="6"/>
    <w:pPr>
      <w:widowControl w:val="0"/>
    </w:pPr>
    <w:rPr>
      <w:rFonts w:ascii="Calibri" w:hAnsi="Calibri" w:eastAsia="Calibri" w:cs="Calibri"/>
      <w:color w:val="000000"/>
      <w:kern w:val="1"/>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2017-07-27T02:44:00Z</dcterms:created>
  <dc:creator>zhangzhibin</dc:creator>
  <cp:lastModifiedBy>Administrator</cp:lastModifiedBy>
  <cp:lastPrinted>2017-08-30T12:21:00Z</cp:lastPrinted>
  <dcterms:modified xsi:type="dcterms:W3CDTF">2017-11-22T03:15:23Z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