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sz w:val="32"/>
          <w:szCs w:val="32"/>
        </w:rPr>
      </w:pPr>
      <w:r>
        <w:rPr>
          <w:rFonts w:hint="eastAsia" w:ascii="宋体" w:hAnsi="宋体"/>
          <w:sz w:val="32"/>
          <w:szCs w:val="32"/>
        </w:rPr>
        <w:t xml:space="preserve">  </w:t>
      </w:r>
    </w:p>
    <w:p>
      <w:pPr>
        <w:spacing w:line="560" w:lineRule="exact"/>
        <w:rPr>
          <w:rFonts w:ascii="宋体" w:hAnsi="宋体"/>
          <w:sz w:val="32"/>
          <w:szCs w:val="32"/>
        </w:rPr>
      </w:pPr>
    </w:p>
    <w:p>
      <w:pPr>
        <w:jc w:val="center"/>
        <w:rPr>
          <w:rFonts w:ascii="仿宋_GB2312" w:eastAsia="仿宋_GB2312"/>
          <w:b/>
          <w:sz w:val="120"/>
          <w:szCs w:val="120"/>
        </w:rPr>
      </w:pPr>
      <w:r>
        <w:rPr>
          <w:rFonts w:hint="eastAsia" w:ascii="仿宋_GB2312" w:eastAsia="仿宋_GB2312"/>
          <w:b/>
          <w:sz w:val="120"/>
          <w:szCs w:val="120"/>
          <w:lang w:eastAsia="zh-CN"/>
        </w:rPr>
        <w:t>贵德县新街</w:t>
      </w:r>
      <w:r>
        <w:rPr>
          <w:rFonts w:hint="eastAsia" w:ascii="仿宋_GB2312" w:eastAsia="仿宋_GB2312"/>
          <w:b/>
          <w:sz w:val="120"/>
          <w:szCs w:val="120"/>
        </w:rPr>
        <w:t>回族乡人民政府2016年部门决算公开</w:t>
      </w:r>
    </w:p>
    <w:p>
      <w:pPr>
        <w:rPr>
          <w:rFonts w:ascii="仿宋_GB2312" w:eastAsia="仿宋_GB2312"/>
          <w:b/>
          <w:sz w:val="44"/>
          <w:szCs w:val="44"/>
        </w:rPr>
      </w:pPr>
    </w:p>
    <w:p/>
    <w:p/>
    <w:p/>
    <w:p/>
    <w:p/>
    <w:p>
      <w:r>
        <w:rPr>
          <w:rFonts w:hint="eastAsia"/>
        </w:rPr>
        <w:t xml:space="preserve"> </w:t>
      </w:r>
    </w:p>
    <w:p/>
    <w:p/>
    <w:p/>
    <w:p/>
    <w:p/>
    <w:p/>
    <w:p>
      <w:pPr>
        <w:jc w:val="center"/>
        <w:rPr>
          <w:rFonts w:ascii="仿宋_GB2312" w:eastAsia="仿宋_GB2312"/>
          <w:b/>
          <w:sz w:val="52"/>
          <w:szCs w:val="52"/>
        </w:rPr>
      </w:pPr>
      <w:r>
        <w:rPr>
          <w:rFonts w:hint="eastAsia" w:ascii="仿宋_GB2312" w:eastAsia="仿宋_GB2312"/>
          <w:b/>
          <w:sz w:val="52"/>
          <w:szCs w:val="52"/>
        </w:rPr>
        <w:t>目录</w:t>
      </w:r>
    </w:p>
    <w:p>
      <w:pPr>
        <w:ind w:firstLine="640" w:firstLineChars="200"/>
        <w:rPr>
          <w:rFonts w:ascii="仿宋_GB2312" w:eastAsia="仿宋_GB2312"/>
          <w:sz w:val="32"/>
          <w:szCs w:val="32"/>
        </w:rPr>
      </w:pPr>
    </w:p>
    <w:p>
      <w:pPr>
        <w:ind w:firstLine="642" w:firstLineChars="200"/>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回族乡人民政府概况</w:t>
      </w:r>
    </w:p>
    <w:p>
      <w:pPr>
        <w:ind w:firstLine="1280" w:firstLineChars="400"/>
        <w:rPr>
          <w:rFonts w:ascii="仿宋_GB2312" w:eastAsia="仿宋_GB2312"/>
          <w:sz w:val="32"/>
          <w:szCs w:val="32"/>
        </w:rPr>
      </w:pPr>
      <w:r>
        <w:rPr>
          <w:rFonts w:hint="eastAsia" w:ascii="仿宋_GB2312" w:eastAsia="仿宋_GB2312"/>
          <w:sz w:val="32"/>
          <w:szCs w:val="32"/>
        </w:rPr>
        <w:t>一、部门职能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2"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回族乡人民政府2016年度部门决算报表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2"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贵德县新街</w:t>
      </w:r>
      <w:r>
        <w:rPr>
          <w:rFonts w:hint="eastAsia" w:ascii="仿宋_GB2312" w:eastAsia="仿宋_GB2312"/>
          <w:b/>
          <w:sz w:val="32"/>
          <w:szCs w:val="32"/>
        </w:rPr>
        <w:t>乡人民政府2016年度部门决算情况说明</w:t>
      </w:r>
    </w:p>
    <w:p>
      <w:pPr>
        <w:ind w:firstLine="642" w:firstLineChars="200"/>
        <w:rPr>
          <w:rFonts w:ascii="仿宋_GB2312" w:eastAsia="仿宋_GB2312"/>
          <w:b/>
          <w:sz w:val="32"/>
          <w:szCs w:val="32"/>
        </w:rPr>
      </w:pPr>
    </w:p>
    <w:p>
      <w:pPr>
        <w:ind w:firstLine="642" w:firstLineChars="200"/>
        <w:rPr>
          <w:rFonts w:ascii="仿宋_GB2312" w:eastAsia="仿宋_GB2312"/>
          <w:b/>
          <w:sz w:val="44"/>
          <w:szCs w:val="44"/>
        </w:rPr>
      </w:pPr>
      <w:r>
        <w:rPr>
          <w:rFonts w:hint="eastAsia" w:ascii="仿宋_GB2312" w:eastAsia="仿宋_GB2312"/>
          <w:b/>
          <w:sz w:val="32"/>
          <w:szCs w:val="32"/>
        </w:rPr>
        <w:t>第四部分名词解释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回族乡人民政府部门概况</w:t>
      </w:r>
    </w:p>
    <w:p>
      <w:pPr>
        <w:ind w:firstLine="320" w:firstLineChars="100"/>
        <w:rPr>
          <w:rFonts w:ascii="仿宋_GB2312" w:eastAsia="仿宋_GB2312"/>
          <w:sz w:val="32"/>
          <w:szCs w:val="32"/>
        </w:rPr>
      </w:pPr>
    </w:p>
    <w:p>
      <w:pPr>
        <w:pStyle w:val="24"/>
        <w:numPr>
          <w:ilvl w:val="0"/>
          <w:numId w:val="1"/>
        </w:numPr>
        <w:ind w:left="637" w:firstLine="643"/>
        <w:jc w:val="left"/>
        <w:rPr>
          <w:rFonts w:ascii="仿宋_GB2312" w:eastAsia="仿宋_GB2312"/>
          <w:sz w:val="32"/>
          <w:szCs w:val="32"/>
        </w:rPr>
      </w:pPr>
      <w:r>
        <w:rPr>
          <w:rFonts w:hint="eastAsia" w:ascii="仿宋_GB2312" w:eastAsia="仿宋_GB2312"/>
          <w:b/>
          <w:sz w:val="32"/>
          <w:szCs w:val="32"/>
        </w:rPr>
        <w:t>部门职能</w:t>
      </w:r>
    </w:p>
    <w:p>
      <w:pPr>
        <w:pStyle w:val="24"/>
        <w:ind w:left="797" w:firstLine="640"/>
        <w:jc w:val="left"/>
        <w:rPr>
          <w:rFonts w:ascii="仿宋_GB2312" w:eastAsia="仿宋_GB2312"/>
          <w:sz w:val="32"/>
          <w:szCs w:val="32"/>
        </w:rPr>
      </w:pPr>
      <w:r>
        <w:rPr>
          <w:rFonts w:hint="eastAsia" w:ascii="仿宋_GB2312" w:eastAsia="仿宋_GB2312"/>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24"/>
        <w:ind w:left="797" w:firstLine="640"/>
        <w:jc w:val="left"/>
        <w:rPr>
          <w:rFonts w:ascii="仿宋_GB2312" w:eastAsia="仿宋_GB2312"/>
          <w:sz w:val="32"/>
          <w:szCs w:val="32"/>
        </w:rPr>
      </w:pPr>
      <w:r>
        <w:rPr>
          <w:rFonts w:hint="eastAsia" w:ascii="仿宋_GB2312" w:eastAsia="仿宋_GB2312"/>
          <w:sz w:val="32"/>
          <w:szCs w:val="32"/>
        </w:rPr>
        <w:t>(2)制定并组织实施村镇建设规划，部署重点工程建设，地方道路建设及公共设施，水利设施的管理，负责土地、林木、水等自然资源和生态环境的保护，做好护林防火工作。</w:t>
      </w:r>
    </w:p>
    <w:p>
      <w:pPr>
        <w:pStyle w:val="24"/>
        <w:ind w:left="797" w:firstLine="640"/>
        <w:jc w:val="left"/>
        <w:rPr>
          <w:rFonts w:ascii="仿宋_GB2312" w:eastAsia="仿宋_GB2312"/>
          <w:sz w:val="32"/>
          <w:szCs w:val="32"/>
        </w:rPr>
      </w:pPr>
      <w:r>
        <w:rPr>
          <w:rFonts w:hint="eastAsia" w:ascii="仿宋_GB2312" w:eastAsia="仿宋_GB2312"/>
          <w:sz w:val="32"/>
          <w:szCs w:val="32"/>
        </w:rPr>
        <w:t>( 3 )负责本行政区域内的民政、计划生育、文化教育、卫生、体育等社会公益事业的综合性工作，维护一切经济单位和个人的正当经济权益，取缔非法经济活动，调解和处理民事纠纷，打击刑事犯罪维护社会稳定。</w:t>
      </w:r>
    </w:p>
    <w:p>
      <w:pPr>
        <w:pStyle w:val="24"/>
        <w:ind w:left="797" w:firstLine="640"/>
        <w:jc w:val="left"/>
        <w:rPr>
          <w:rFonts w:ascii="仿宋_GB2312" w:eastAsia="仿宋_GB2312"/>
          <w:sz w:val="32"/>
          <w:szCs w:val="32"/>
        </w:rPr>
      </w:pPr>
      <w:r>
        <w:rPr>
          <w:rFonts w:hint="eastAsia" w:ascii="仿宋_GB2312" w:eastAsia="仿宋_GB2312"/>
          <w:sz w:val="32"/>
          <w:szCs w:val="32"/>
        </w:rPr>
        <w:t>（4）按计划组织本级财政收入和地方税的征收，完成国家财政计划，不断培植税源，管好财政资金，增强财政实力。</w:t>
      </w:r>
    </w:p>
    <w:p>
      <w:pPr>
        <w:pStyle w:val="24"/>
        <w:ind w:left="797" w:firstLine="640"/>
        <w:jc w:val="left"/>
        <w:rPr>
          <w:rFonts w:ascii="仿宋_GB2312" w:eastAsia="仿宋_GB2312"/>
          <w:sz w:val="32"/>
          <w:szCs w:val="32"/>
        </w:rPr>
      </w:pPr>
      <w:r>
        <w:rPr>
          <w:rFonts w:hint="eastAsia" w:ascii="仿宋_GB2312" w:eastAsia="仿宋_GB2312"/>
          <w:sz w:val="32"/>
          <w:szCs w:val="32"/>
        </w:rPr>
        <w:t>（5）抓好精神文明建设，丰富群众文化生活，提倡移风易俗，反对封建迷信，破除陈规陋习，树立社会主义新风尚。</w:t>
      </w:r>
    </w:p>
    <w:p>
      <w:pPr>
        <w:pStyle w:val="24"/>
        <w:ind w:left="797" w:firstLine="640"/>
        <w:jc w:val="left"/>
        <w:rPr>
          <w:rFonts w:ascii="仿宋_GB2312" w:eastAsia="仿宋_GB2312"/>
          <w:sz w:val="32"/>
          <w:szCs w:val="32"/>
        </w:rPr>
      </w:pPr>
      <w:r>
        <w:rPr>
          <w:rFonts w:hint="eastAsia" w:ascii="仿宋_GB2312" w:eastAsia="仿宋_GB2312"/>
          <w:sz w:val="32"/>
          <w:szCs w:val="32"/>
        </w:rPr>
        <w:t>（6）完成上级政府交办的其它事项。</w:t>
      </w:r>
    </w:p>
    <w:p>
      <w:pPr>
        <w:pStyle w:val="24"/>
        <w:ind w:left="797" w:firstLine="643"/>
        <w:jc w:val="left"/>
        <w:rPr>
          <w:rFonts w:ascii="仿宋_GB2312" w:eastAsia="仿宋_GB2312"/>
          <w:b/>
          <w:sz w:val="32"/>
          <w:szCs w:val="32"/>
        </w:rPr>
      </w:pPr>
      <w:r>
        <w:rPr>
          <w:rFonts w:hint="eastAsia" w:ascii="仿宋_GB2312" w:eastAsia="仿宋_GB2312"/>
          <w:b/>
          <w:sz w:val="32"/>
          <w:szCs w:val="32"/>
        </w:rPr>
        <w:t>二、部门决算单位构成</w:t>
      </w:r>
    </w:p>
    <w:p>
      <w:pPr>
        <w:pStyle w:val="24"/>
        <w:ind w:left="797" w:firstLine="643"/>
        <w:jc w:val="left"/>
        <w:rPr>
          <w:rFonts w:ascii="仿宋_GB2312" w:eastAsia="仿宋_GB2312"/>
          <w:sz w:val="32"/>
          <w:szCs w:val="32"/>
        </w:rPr>
      </w:pPr>
      <w:r>
        <w:rPr>
          <w:rFonts w:hint="eastAsia" w:ascii="仿宋_GB2312" w:eastAsia="仿宋_GB2312"/>
          <w:b/>
          <w:sz w:val="32"/>
          <w:szCs w:val="32"/>
        </w:rPr>
        <w:t>2</w:t>
      </w:r>
      <w:r>
        <w:rPr>
          <w:rFonts w:hint="eastAsia" w:ascii="仿宋_GB2312" w:eastAsia="仿宋_GB2312"/>
          <w:sz w:val="32"/>
          <w:szCs w:val="32"/>
        </w:rPr>
        <w:t>016年度决算编制范围包括各级预算单位1个。其中二级预算单位0个（详情见附表）。各级单位年末人数28人，其中在职人员22人，离休人员0人，退休人员0人，其他人员6人。</w:t>
      </w: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回族乡人民政府2016年度部门决算报表</w:t>
      </w:r>
    </w:p>
    <w:tbl>
      <w:tblPr>
        <w:tblStyle w:val="8"/>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CellMar>
            <w:top w:w="0" w:type="dxa"/>
            <w:left w:w="108" w:type="dxa"/>
            <w:bottom w:w="0" w:type="dxa"/>
            <w:right w:w="108" w:type="dxa"/>
          </w:tblCellMar>
        </w:tblPrEx>
        <w:trPr>
          <w:trHeight w:val="402" w:hRule="atLeast"/>
        </w:trPr>
        <w:tc>
          <w:tcPr>
            <w:tcW w:w="9744" w:type="dxa"/>
            <w:tcBorders>
              <w:top w:val="nil"/>
              <w:left w:val="nil"/>
              <w:bottom w:val="nil"/>
              <w:right w:val="nil"/>
            </w:tcBorders>
            <w:vAlign w:val="center"/>
          </w:tcPr>
          <w:tbl>
            <w:tblPr>
              <w:tblStyle w:val="8"/>
              <w:tblW w:w="9201" w:type="dxa"/>
              <w:tblInd w:w="0" w:type="dxa"/>
              <w:tblLayout w:type="fixed"/>
              <w:tblCellMar>
                <w:top w:w="0" w:type="dxa"/>
                <w:left w:w="108" w:type="dxa"/>
                <w:bottom w:w="0" w:type="dxa"/>
                <w:right w:w="108" w:type="dxa"/>
              </w:tblCellMar>
            </w:tblPr>
            <w:tblGrid>
              <w:gridCol w:w="2742"/>
              <w:gridCol w:w="426"/>
              <w:gridCol w:w="207"/>
              <w:gridCol w:w="456"/>
              <w:gridCol w:w="1038"/>
              <w:gridCol w:w="2377"/>
              <w:gridCol w:w="456"/>
              <w:gridCol w:w="1499"/>
            </w:tblGrid>
            <w:tr>
              <w:tblPrEx>
                <w:tblCellMar>
                  <w:top w:w="0" w:type="dxa"/>
                  <w:left w:w="108" w:type="dxa"/>
                  <w:bottom w:w="0" w:type="dxa"/>
                  <w:right w:w="108" w:type="dxa"/>
                </w:tblCellMar>
              </w:tblPrEx>
              <w:trPr>
                <w:trHeight w:val="255" w:hRule="atLeast"/>
              </w:trPr>
              <w:tc>
                <w:tcPr>
                  <w:tcW w:w="9201" w:type="dxa"/>
                  <w:gridSpan w:val="8"/>
                  <w:tcBorders>
                    <w:top w:val="nil"/>
                    <w:left w:val="nil"/>
                    <w:bottom w:val="nil"/>
                    <w:right w:val="nil"/>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38"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377"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CellMar>
                  <w:top w:w="0" w:type="dxa"/>
                  <w:left w:w="108" w:type="dxa"/>
                  <w:bottom w:w="0" w:type="dxa"/>
                  <w:right w:w="108" w:type="dxa"/>
                </w:tblCellMar>
              </w:tblPrEx>
              <w:trPr>
                <w:trHeight w:val="255" w:hRule="atLeast"/>
              </w:trPr>
              <w:tc>
                <w:tcPr>
                  <w:tcW w:w="3375"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部门：贵德县</w:t>
                  </w:r>
                  <w:r>
                    <w:rPr>
                      <w:rFonts w:hint="eastAsia" w:ascii="仿宋_GB2312" w:hAnsi="Arial" w:eastAsia="仿宋_GB2312" w:cs="Arial"/>
                      <w:color w:val="000000"/>
                      <w:kern w:val="0"/>
                      <w:sz w:val="16"/>
                      <w:szCs w:val="16"/>
                      <w:lang w:eastAsia="zh-CN"/>
                    </w:rPr>
                    <w:t>贵德县新街</w:t>
                  </w:r>
                  <w:r>
                    <w:rPr>
                      <w:rFonts w:hint="eastAsia" w:ascii="仿宋_GB2312" w:hAnsi="Arial" w:eastAsia="仿宋_GB2312" w:cs="Arial"/>
                      <w:color w:val="000000"/>
                      <w:kern w:val="0"/>
                      <w:sz w:val="16"/>
                      <w:szCs w:val="16"/>
                    </w:rPr>
                    <w:t>回族乡人民政府</w:t>
                  </w: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38"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377"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4869"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332" w:type="dxa"/>
                  <w:gridSpan w:val="3"/>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701" w:type="dxa"/>
                  <w:gridSpan w:val="3"/>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7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478.78</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273.01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1017.85</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0.56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47.93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8.44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299.39</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440.69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22.42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11.81</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1496.63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1104.25</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用事业基金弥补收支差额</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kern w:val="0"/>
                      <w:sz w:val="16"/>
                      <w:szCs w:val="16"/>
                    </w:rPr>
                  </w:pPr>
                  <w:r>
                    <w:rPr>
                      <w:rFonts w:hint="eastAsia" w:ascii="仿宋_GB2312" w:hAnsi="Arial" w:eastAsia="仿宋_GB2312" w:cs="Arial"/>
                      <w:kern w:val="0"/>
                      <w:sz w:val="16"/>
                      <w:szCs w:val="16"/>
                    </w:rPr>
                    <w:t>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kern w:val="0"/>
                      <w:sz w:val="16"/>
                      <w:szCs w:val="16"/>
                    </w:rPr>
                  </w:pPr>
                  <w:r>
                    <w:rPr>
                      <w:rFonts w:hint="eastAsia" w:ascii="仿宋_GB2312" w:hAnsi="Arial" w:eastAsia="仿宋_GB2312" w:cs="Arial"/>
                      <w:kern w:val="0"/>
                      <w:sz w:val="16"/>
                      <w:szCs w:val="16"/>
                    </w:rPr>
                    <w:t>结余分配</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0.00</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年初结转和结余</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701" w:type="dxa"/>
                  <w:gridSpan w:val="3"/>
                  <w:tcBorders>
                    <w:top w:val="nil"/>
                    <w:left w:val="nil"/>
                    <w:bottom w:val="single" w:color="000000" w:sz="4" w:space="0"/>
                    <w:right w:val="single" w:color="000000" w:sz="4" w:space="0"/>
                  </w:tcBorders>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2.81　</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395.19</w:t>
                  </w:r>
                </w:p>
              </w:tc>
            </w:tr>
            <w:tr>
              <w:tblPrEx>
                <w:tblCellMar>
                  <w:top w:w="0" w:type="dxa"/>
                  <w:left w:w="108" w:type="dxa"/>
                  <w:bottom w:w="0" w:type="dxa"/>
                  <w:right w:w="108" w:type="dxa"/>
                </w:tblCellMar>
              </w:tblPrEx>
              <w:trPr>
                <w:trHeight w:val="308" w:hRule="atLeast"/>
              </w:trPr>
              <w:tc>
                <w:tcPr>
                  <w:tcW w:w="2742"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701" w:type="dxa"/>
                  <w:gridSpan w:val="3"/>
                  <w:tcBorders>
                    <w:top w:val="nil"/>
                    <w:left w:val="nil"/>
                    <w:bottom w:val="single" w:color="000000" w:sz="4" w:space="0"/>
                    <w:right w:val="single" w:color="000000" w:sz="4" w:space="0"/>
                  </w:tcBorders>
                  <w:vAlign w:val="center"/>
                </w:tcPr>
                <w:p>
                  <w:pPr>
                    <w:widowControl/>
                    <w:ind w:right="320"/>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1499.44</w:t>
                  </w:r>
                </w:p>
              </w:tc>
              <w:tc>
                <w:tcPr>
                  <w:tcW w:w="2377"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1499.44</w:t>
                  </w:r>
                </w:p>
              </w:tc>
            </w:tr>
          </w:tbl>
          <w:p>
            <w:pPr>
              <w:widowControl/>
              <w:jc w:val="left"/>
              <w:rPr>
                <w:rFonts w:ascii="仿宋_GB2312" w:hAnsi="Arial" w:eastAsia="仿宋_GB2312" w:cs="Arial"/>
                <w:b/>
                <w:bCs/>
                <w:kern w:val="0"/>
                <w:sz w:val="16"/>
                <w:szCs w:val="16"/>
              </w:rPr>
            </w:pPr>
          </w:p>
          <w:tbl>
            <w:tblPr>
              <w:tblStyle w:val="8"/>
              <w:tblW w:w="9529" w:type="dxa"/>
              <w:tblInd w:w="0" w:type="dxa"/>
              <w:tblLayout w:type="fixed"/>
              <w:tblCellMar>
                <w:top w:w="0" w:type="dxa"/>
                <w:left w:w="108" w:type="dxa"/>
                <w:bottom w:w="0" w:type="dxa"/>
                <w:right w:w="108" w:type="dxa"/>
              </w:tblCellMar>
            </w:tblPr>
            <w:tblGrid>
              <w:gridCol w:w="376"/>
              <w:gridCol w:w="376"/>
              <w:gridCol w:w="376"/>
              <w:gridCol w:w="197"/>
              <w:gridCol w:w="1843"/>
              <w:gridCol w:w="1134"/>
              <w:gridCol w:w="1134"/>
              <w:gridCol w:w="708"/>
              <w:gridCol w:w="709"/>
              <w:gridCol w:w="709"/>
              <w:gridCol w:w="425"/>
              <w:gridCol w:w="1542"/>
            </w:tblGrid>
            <w:tr>
              <w:tblPrEx>
                <w:tblCellMar>
                  <w:top w:w="0" w:type="dxa"/>
                  <w:left w:w="108" w:type="dxa"/>
                  <w:bottom w:w="0" w:type="dxa"/>
                  <w:right w:w="108" w:type="dxa"/>
                </w:tblCellMar>
              </w:tblPrEx>
              <w:trPr>
                <w:trHeight w:val="255" w:hRule="atLeast"/>
              </w:trPr>
              <w:tc>
                <w:tcPr>
                  <w:tcW w:w="9529" w:type="dxa"/>
                  <w:gridSpan w:val="12"/>
                  <w:tcBorders>
                    <w:top w:val="nil"/>
                    <w:left w:val="nil"/>
                    <w:bottom w:val="nil"/>
                    <w:right w:val="nil"/>
                  </w:tcBorders>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04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08"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0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0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542"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CellMar>
                  <w:top w:w="0" w:type="dxa"/>
                  <w:left w:w="108" w:type="dxa"/>
                  <w:bottom w:w="0" w:type="dxa"/>
                  <w:right w:w="108" w:type="dxa"/>
                </w:tblCellMar>
              </w:tblPrEx>
              <w:trPr>
                <w:trHeight w:val="255" w:hRule="atLeast"/>
              </w:trPr>
              <w:tc>
                <w:tcPr>
                  <w:tcW w:w="4302" w:type="dxa"/>
                  <w:gridSpan w:val="6"/>
                  <w:tcBorders>
                    <w:top w:val="nil"/>
                    <w:left w:val="nil"/>
                    <w:bottom w:val="nil"/>
                    <w:right w:val="nil"/>
                  </w:tcBorders>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w:t>
                  </w:r>
                  <w:r>
                    <w:rPr>
                      <w:rFonts w:hint="eastAsia" w:ascii="宋体" w:hAnsi="宋体" w:cs="Arial"/>
                      <w:color w:val="000000"/>
                      <w:kern w:val="0"/>
                      <w:sz w:val="16"/>
                      <w:szCs w:val="16"/>
                      <w:lang w:eastAsia="zh-CN"/>
                    </w:rPr>
                    <w:t>贵德县新街</w:t>
                  </w:r>
                  <w:r>
                    <w:rPr>
                      <w:rFonts w:hint="eastAsia" w:ascii="宋体" w:hAnsi="宋体" w:cs="Arial"/>
                      <w:color w:val="000000"/>
                      <w:kern w:val="0"/>
                      <w:sz w:val="16"/>
                      <w:szCs w:val="16"/>
                    </w:rPr>
                    <w:t>回族乡人民政府</w:t>
                  </w: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08"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70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0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2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542"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3168"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113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7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70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70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42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542"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CellMar>
                  <w:top w:w="0" w:type="dxa"/>
                  <w:left w:w="108" w:type="dxa"/>
                  <w:bottom w:w="0" w:type="dxa"/>
                  <w:right w:w="108" w:type="dxa"/>
                </w:tblCellMar>
              </w:tblPrEx>
              <w:trPr>
                <w:trHeight w:val="629" w:hRule="atLeast"/>
              </w:trPr>
              <w:tc>
                <w:tcPr>
                  <w:tcW w:w="1325" w:type="dxa"/>
                  <w:gridSpan w:val="4"/>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843"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4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542"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629" w:hRule="atLeast"/>
              </w:trPr>
              <w:tc>
                <w:tcPr>
                  <w:tcW w:w="1325" w:type="dxa"/>
                  <w:gridSpan w:val="4"/>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4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4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542"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629" w:hRule="atLeast"/>
              </w:trPr>
              <w:tc>
                <w:tcPr>
                  <w:tcW w:w="1325" w:type="dxa"/>
                  <w:gridSpan w:val="4"/>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4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4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542"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573"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84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42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542"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57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43"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1496.63</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478.78</w:t>
                  </w:r>
                </w:p>
              </w:tc>
              <w:tc>
                <w:tcPr>
                  <w:tcW w:w="70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2"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1017.85</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201</w:t>
                  </w:r>
                </w:p>
              </w:tc>
              <w:tc>
                <w:tcPr>
                  <w:tcW w:w="184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一般公共服务支出</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526.58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276.29</w:t>
                  </w:r>
                </w:p>
              </w:tc>
              <w:tc>
                <w:tcPr>
                  <w:tcW w:w="70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2"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250.29</w:t>
                  </w:r>
                </w:p>
              </w:tc>
            </w:tr>
            <w:tr>
              <w:tblPrEx>
                <w:tblCellMar>
                  <w:top w:w="0" w:type="dxa"/>
                  <w:left w:w="108" w:type="dxa"/>
                  <w:bottom w:w="0" w:type="dxa"/>
                  <w:right w:w="108" w:type="dxa"/>
                </w:tblCellMar>
              </w:tblPrEx>
              <w:trPr>
                <w:trHeight w:val="1051" w:hRule="atLeast"/>
              </w:trPr>
              <w:tc>
                <w:tcPr>
                  <w:tcW w:w="1325" w:type="dxa"/>
                  <w:gridSpan w:val="4"/>
                  <w:tcBorders>
                    <w:top w:val="single" w:color="000000" w:sz="4" w:space="0"/>
                    <w:left w:val="single" w:color="000000" w:sz="8" w:space="0"/>
                    <w:bottom w:val="single" w:color="000000" w:sz="4" w:space="0"/>
                    <w:right w:val="single" w:color="000000" w:sz="4" w:space="0"/>
                  </w:tcBorders>
                  <w:vAlign w:val="center"/>
                </w:tcPr>
                <w:p>
                  <w:pPr>
                    <w:widowControl/>
                    <w:ind w:firstLine="160" w:firstLineChars="100"/>
                    <w:jc w:val="left"/>
                    <w:rPr>
                      <w:rFonts w:ascii="宋体" w:hAnsi="宋体" w:cs="Arial"/>
                      <w:color w:val="000000"/>
                      <w:kern w:val="0"/>
                      <w:sz w:val="16"/>
                      <w:szCs w:val="16"/>
                    </w:rPr>
                  </w:pPr>
                  <w:r>
                    <w:rPr>
                      <w:rFonts w:hint="eastAsia" w:ascii="宋体" w:hAnsi="宋体" w:cs="Arial"/>
                      <w:color w:val="000000"/>
                      <w:kern w:val="0"/>
                      <w:sz w:val="16"/>
                      <w:szCs w:val="16"/>
                    </w:rPr>
                    <w:t>20103</w:t>
                  </w:r>
                </w:p>
              </w:tc>
              <w:tc>
                <w:tcPr>
                  <w:tcW w:w="1843"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政府办公厅（室）及相关机构事务</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275.57　</w:t>
                  </w:r>
                </w:p>
              </w:tc>
              <w:tc>
                <w:tcPr>
                  <w:tcW w:w="1134"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275.29</w:t>
                  </w:r>
                </w:p>
              </w:tc>
              <w:tc>
                <w:tcPr>
                  <w:tcW w:w="708"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42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2"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0.29</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2010301</w:t>
                  </w:r>
                </w:p>
              </w:tc>
              <w:tc>
                <w:tcPr>
                  <w:tcW w:w="1843"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行政运行</w:t>
                  </w:r>
                </w:p>
              </w:tc>
              <w:tc>
                <w:tcPr>
                  <w:tcW w:w="1134"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214.71</w:t>
                  </w:r>
                </w:p>
              </w:tc>
              <w:tc>
                <w:tcPr>
                  <w:tcW w:w="1134"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214.71</w:t>
                  </w:r>
                </w:p>
              </w:tc>
              <w:tc>
                <w:tcPr>
                  <w:tcW w:w="708"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425"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2" w:type="dxa"/>
                  <w:tcBorders>
                    <w:top w:val="nil"/>
                    <w:left w:val="nil"/>
                    <w:bottom w:val="single" w:color="auto"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2010303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机关服务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60.87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right="80"/>
                    <w:jc w:val="right"/>
                    <w:rPr>
                      <w:rFonts w:ascii="宋体" w:hAnsi="宋体" w:cs="Arial"/>
                      <w:color w:val="000000"/>
                      <w:kern w:val="0"/>
                      <w:sz w:val="16"/>
                      <w:szCs w:val="16"/>
                    </w:rPr>
                  </w:pPr>
                  <w:r>
                    <w:rPr>
                      <w:rFonts w:hint="eastAsia" w:ascii="宋体" w:hAnsi="宋体" w:cs="Arial"/>
                      <w:color w:val="000000"/>
                      <w:kern w:val="0"/>
                      <w:sz w:val="16"/>
                      <w:szCs w:val="16"/>
                    </w:rPr>
                    <w:t>60.58</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0.29</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ind w:firstLine="160" w:firstLineChars="100"/>
                    <w:jc w:val="left"/>
                    <w:rPr>
                      <w:rFonts w:ascii="宋体" w:hAnsi="宋体" w:cs="Arial"/>
                      <w:color w:val="000000"/>
                      <w:kern w:val="0"/>
                      <w:sz w:val="16"/>
                      <w:szCs w:val="16"/>
                    </w:rPr>
                  </w:pPr>
                  <w:r>
                    <w:rPr>
                      <w:rFonts w:hint="eastAsia" w:ascii="宋体" w:hAnsi="宋体" w:cs="Arial"/>
                      <w:color w:val="000000"/>
                      <w:kern w:val="0"/>
                      <w:sz w:val="16"/>
                      <w:szCs w:val="16"/>
                    </w:rPr>
                    <w:t>20132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组织事务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ind w:firstLine="160" w:firstLineChars="100"/>
                    <w:jc w:val="left"/>
                    <w:rPr>
                      <w:rFonts w:ascii="宋体" w:hAnsi="宋体" w:cs="Arial"/>
                      <w:color w:val="000000"/>
                      <w:kern w:val="0"/>
                      <w:sz w:val="16"/>
                      <w:szCs w:val="16"/>
                    </w:rPr>
                  </w:pPr>
                  <w:r>
                    <w:rPr>
                      <w:rFonts w:hint="eastAsia" w:ascii="宋体" w:hAnsi="宋体" w:cs="Arial"/>
                      <w:color w:val="000000"/>
                      <w:kern w:val="0"/>
                      <w:sz w:val="16"/>
                      <w:szCs w:val="16"/>
                    </w:rPr>
                    <w:t>2013299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其他组织事务支出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ind w:firstLine="80" w:firstLineChars="50"/>
                    <w:jc w:val="left"/>
                    <w:rPr>
                      <w:rFonts w:ascii="宋体" w:hAnsi="宋体" w:cs="Arial"/>
                      <w:color w:val="000000"/>
                      <w:kern w:val="0"/>
                      <w:sz w:val="16"/>
                      <w:szCs w:val="16"/>
                    </w:rPr>
                  </w:pPr>
                  <w:r>
                    <w:rPr>
                      <w:rFonts w:hint="eastAsia" w:ascii="宋体" w:hAnsi="宋体" w:cs="Arial"/>
                      <w:color w:val="000000"/>
                      <w:kern w:val="0"/>
                      <w:sz w:val="16"/>
                      <w:szCs w:val="16"/>
                    </w:rPr>
                    <w:t>20199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其他一般公共服务支出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250.00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250.00</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ind w:firstLine="80" w:firstLineChars="50"/>
                    <w:jc w:val="left"/>
                    <w:rPr>
                      <w:rFonts w:ascii="宋体" w:hAnsi="宋体" w:cs="Arial"/>
                      <w:color w:val="000000"/>
                      <w:kern w:val="0"/>
                      <w:sz w:val="16"/>
                      <w:szCs w:val="16"/>
                    </w:rPr>
                  </w:pPr>
                  <w:r>
                    <w:rPr>
                      <w:rFonts w:hint="eastAsia" w:ascii="宋体" w:hAnsi="宋体" w:cs="Arial"/>
                      <w:color w:val="000000"/>
                      <w:kern w:val="0"/>
                      <w:sz w:val="16"/>
                      <w:szCs w:val="16"/>
                    </w:rPr>
                    <w:t>2019999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其他一般公共服务支出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250.00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250.00</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文化体育与传媒支出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4.4</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文化</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4.4</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2070108</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文化活动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1.38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1.38</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2070199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其他文化支出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3.02</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归口管理的行政单位离退休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1.43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1.43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2080505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机关事业单位基本养老保险缴费支出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37.20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37.20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2080506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机关事业单位职业年金缴费支出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0.68</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21004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公共卫生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0.68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0.68</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2100401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疾病预防控制机构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0.68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0.68</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21007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计划生育事物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2100716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计划生育机构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城乡社区支出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383.82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right="80"/>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ind w:right="240"/>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383.82</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21299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其他城乡社区支出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383.82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383.82</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2129999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其他城乡社区支出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383.82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383.82</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农林水支出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493.35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114.69</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378.66</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农业</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55.19</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2130104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事业运行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55.19</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扶贫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380.66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378.66</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2130504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农村基础设施建设</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380.66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r>
                    <w:rPr>
                      <w:rFonts w:hint="eastAsia" w:ascii="宋体" w:hAnsi="宋体" w:cs="Arial"/>
                      <w:color w:val="000000"/>
                      <w:kern w:val="0"/>
                      <w:sz w:val="16"/>
                      <w:szCs w:val="16"/>
                    </w:rPr>
                    <w:t>378.66</w:t>
                  </w: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农村综合改革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57.49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57.49</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2130705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对村民委员会和村党支部的补助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57.49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57.49</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住房保障支出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22102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住房改革支出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2210201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住房公积金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9.00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9.00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325" w:type="dxa"/>
                  <w:gridSpan w:val="4"/>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2299901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9.00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ind w:right="480"/>
                    <w:rPr>
                      <w:rFonts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vAlign w:val="center"/>
          </w:tcPr>
          <w:p>
            <w:pPr>
              <w:widowControl/>
              <w:jc w:val="right"/>
              <w:rPr>
                <w:rFonts w:ascii="仿宋_GB2312" w:hAnsi="Arial" w:eastAsia="仿宋_GB2312" w:cs="Arial"/>
                <w:kern w:val="0"/>
                <w:sz w:val="16"/>
                <w:szCs w:val="16"/>
              </w:rPr>
            </w:pPr>
          </w:p>
        </w:tc>
      </w:tr>
    </w:tbl>
    <w:p>
      <w:pPr>
        <w:jc w:val="left"/>
        <w:rPr>
          <w:rFonts w:ascii="仿宋_GB2312" w:eastAsia="仿宋_GB2312"/>
          <w:b/>
          <w:sz w:val="32"/>
          <w:szCs w:val="32"/>
        </w:rPr>
      </w:pPr>
    </w:p>
    <w:tbl>
      <w:tblPr>
        <w:tblStyle w:val="8"/>
        <w:tblW w:w="9654" w:type="dxa"/>
        <w:tblInd w:w="93" w:type="dxa"/>
        <w:tblLayout w:type="fixed"/>
        <w:tblCellMar>
          <w:top w:w="0" w:type="dxa"/>
          <w:left w:w="108" w:type="dxa"/>
          <w:bottom w:w="0" w:type="dxa"/>
          <w:right w:w="108" w:type="dxa"/>
        </w:tblCellMar>
      </w:tblPr>
      <w:tblGrid>
        <w:gridCol w:w="376"/>
        <w:gridCol w:w="376"/>
        <w:gridCol w:w="114"/>
        <w:gridCol w:w="122"/>
        <w:gridCol w:w="140"/>
        <w:gridCol w:w="2148"/>
        <w:gridCol w:w="1275"/>
        <w:gridCol w:w="1276"/>
        <w:gridCol w:w="1276"/>
        <w:gridCol w:w="992"/>
        <w:gridCol w:w="851"/>
        <w:gridCol w:w="708"/>
      </w:tblGrid>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2148"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27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276" w:type="dxa"/>
            <w:tcBorders>
              <w:top w:val="nil"/>
              <w:left w:val="nil"/>
              <w:bottom w:val="nil"/>
              <w:right w:val="nil"/>
            </w:tcBorders>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12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08" w:type="dxa"/>
            <w:tcBorders>
              <w:top w:val="nil"/>
              <w:left w:val="nil"/>
              <w:bottom w:val="nil"/>
              <w:right w:val="nil"/>
            </w:tcBorders>
            <w:vAlign w:val="bottom"/>
          </w:tcPr>
          <w:p>
            <w:pPr>
              <w:widowControl/>
              <w:jc w:val="left"/>
              <w:rPr>
                <w:rFonts w:ascii="Arial" w:hAnsi="Arial" w:cs="Arial"/>
                <w:color w:val="000000"/>
                <w:kern w:val="0"/>
                <w:sz w:val="16"/>
                <w:szCs w:val="16"/>
              </w:rPr>
            </w:pPr>
          </w:p>
        </w:tc>
      </w:tr>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2148"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27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2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2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551" w:type="dxa"/>
            <w:gridSpan w:val="3"/>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w:t>
            </w:r>
          </w:p>
        </w:tc>
      </w:tr>
      <w:tr>
        <w:tblPrEx>
          <w:tblCellMar>
            <w:top w:w="0" w:type="dxa"/>
            <w:left w:w="108" w:type="dxa"/>
            <w:bottom w:w="0" w:type="dxa"/>
            <w:right w:w="108" w:type="dxa"/>
          </w:tblCellMar>
        </w:tblPrEx>
        <w:trPr>
          <w:trHeight w:val="255" w:hRule="atLeast"/>
        </w:trPr>
        <w:tc>
          <w:tcPr>
            <w:tcW w:w="4551" w:type="dxa"/>
            <w:gridSpan w:val="7"/>
            <w:tcBorders>
              <w:top w:val="nil"/>
              <w:left w:val="nil"/>
              <w:bottom w:val="nil"/>
              <w:right w:val="nil"/>
            </w:tcBorders>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w:t>
            </w:r>
            <w:r>
              <w:rPr>
                <w:rFonts w:hint="eastAsia" w:ascii="宋体" w:hAnsi="宋体" w:cs="Arial"/>
                <w:color w:val="000000"/>
                <w:kern w:val="0"/>
                <w:sz w:val="16"/>
                <w:szCs w:val="16"/>
                <w:lang w:eastAsia="zh-CN"/>
              </w:rPr>
              <w:t>贵德县新街</w:t>
            </w:r>
            <w:r>
              <w:rPr>
                <w:rFonts w:hint="eastAsia" w:ascii="宋体" w:hAnsi="宋体" w:cs="Arial"/>
                <w:color w:val="000000"/>
                <w:kern w:val="0"/>
                <w:sz w:val="16"/>
                <w:szCs w:val="16"/>
              </w:rPr>
              <w:t>回族乡人民政府</w:t>
            </w:r>
          </w:p>
        </w:tc>
        <w:tc>
          <w:tcPr>
            <w:tcW w:w="1276"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12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551" w:type="dxa"/>
            <w:gridSpan w:val="3"/>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308" w:hRule="atLeast"/>
        </w:trPr>
        <w:tc>
          <w:tcPr>
            <w:tcW w:w="3276" w:type="dxa"/>
            <w:gridSpan w:val="6"/>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127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27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127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851"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708"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CellMar>
            <w:top w:w="0" w:type="dxa"/>
            <w:left w:w="108" w:type="dxa"/>
            <w:bottom w:w="0" w:type="dxa"/>
            <w:right w:w="108" w:type="dxa"/>
          </w:tblCellMar>
        </w:tblPrEx>
        <w:trPr>
          <w:trHeight w:val="629" w:hRule="atLeast"/>
        </w:trPr>
        <w:tc>
          <w:tcPr>
            <w:tcW w:w="866"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2410"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629" w:hRule="atLeast"/>
        </w:trPr>
        <w:tc>
          <w:tcPr>
            <w:tcW w:w="86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41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629" w:hRule="atLeast"/>
        </w:trPr>
        <w:tc>
          <w:tcPr>
            <w:tcW w:w="86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41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0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236" w:type="dxa"/>
            <w:gridSpan w:val="2"/>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2288"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2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12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708" w:type="dxa"/>
            <w:tcBorders>
              <w:top w:val="nil"/>
              <w:left w:val="nil"/>
              <w:bottom w:val="single" w:color="000000" w:sz="4" w:space="0"/>
              <w:right w:val="single" w:color="000000" w:sz="8"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3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2288"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1104.25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478.30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625.94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201</w:t>
            </w:r>
          </w:p>
        </w:tc>
        <w:tc>
          <w:tcPr>
            <w:tcW w:w="2410"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一般公共服务支出</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273.00</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273.00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ind w:firstLine="160" w:firstLineChars="100"/>
              <w:jc w:val="left"/>
              <w:rPr>
                <w:rFonts w:ascii="宋体" w:hAnsi="宋体" w:cs="Arial"/>
                <w:color w:val="000000"/>
                <w:kern w:val="0"/>
                <w:sz w:val="16"/>
                <w:szCs w:val="16"/>
              </w:rPr>
            </w:pPr>
            <w:r>
              <w:rPr>
                <w:rFonts w:hint="eastAsia" w:ascii="宋体" w:hAnsi="宋体" w:cs="Arial"/>
                <w:color w:val="000000"/>
                <w:kern w:val="0"/>
                <w:sz w:val="16"/>
                <w:szCs w:val="16"/>
              </w:rPr>
              <w:t>20103</w:t>
            </w:r>
          </w:p>
        </w:tc>
        <w:tc>
          <w:tcPr>
            <w:tcW w:w="2410"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政府办公厅（室）及相关机构事务</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272.00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272.00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2010301</w:t>
            </w:r>
          </w:p>
        </w:tc>
        <w:tc>
          <w:tcPr>
            <w:tcW w:w="2410"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行政运行</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214.71</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214.71</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2010303</w:t>
            </w:r>
          </w:p>
        </w:tc>
        <w:tc>
          <w:tcPr>
            <w:tcW w:w="2410"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机关服务</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57.29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57.29　</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ind w:firstLine="160" w:firstLineChars="100"/>
              <w:jc w:val="left"/>
              <w:rPr>
                <w:rFonts w:ascii="宋体" w:hAnsi="宋体" w:cs="Arial"/>
                <w:color w:val="000000"/>
                <w:kern w:val="0"/>
                <w:sz w:val="16"/>
                <w:szCs w:val="16"/>
              </w:rPr>
            </w:pPr>
            <w:r>
              <w:rPr>
                <w:rFonts w:hint="eastAsia" w:ascii="宋体" w:hAnsi="宋体" w:cs="Arial"/>
                <w:color w:val="000000"/>
                <w:kern w:val="0"/>
                <w:sz w:val="16"/>
                <w:szCs w:val="16"/>
              </w:rPr>
              <w:t>20132</w:t>
            </w:r>
          </w:p>
        </w:tc>
        <w:tc>
          <w:tcPr>
            <w:tcW w:w="2410"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组织事务</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2013299</w:t>
            </w:r>
          </w:p>
        </w:tc>
        <w:tc>
          <w:tcPr>
            <w:tcW w:w="2410"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其他组织事务支出</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1.00</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w:t>
            </w:r>
          </w:p>
        </w:tc>
        <w:tc>
          <w:tcPr>
            <w:tcW w:w="2410" w:type="dxa"/>
            <w:gridSpan w:val="3"/>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文化体育与传媒支出</w:t>
            </w:r>
          </w:p>
        </w:tc>
        <w:tc>
          <w:tcPr>
            <w:tcW w:w="1275"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0.56</w:t>
            </w: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0.56　</w:t>
            </w:r>
          </w:p>
        </w:tc>
        <w:tc>
          <w:tcPr>
            <w:tcW w:w="992"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nil"/>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20701</w:t>
            </w:r>
          </w:p>
        </w:tc>
        <w:tc>
          <w:tcPr>
            <w:tcW w:w="2410" w:type="dxa"/>
            <w:gridSpan w:val="3"/>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文化</w:t>
            </w:r>
          </w:p>
        </w:tc>
        <w:tc>
          <w:tcPr>
            <w:tcW w:w="1275"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0.56</w:t>
            </w:r>
          </w:p>
        </w:tc>
        <w:tc>
          <w:tcPr>
            <w:tcW w:w="1276"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p>
        </w:tc>
        <w:tc>
          <w:tcPr>
            <w:tcW w:w="1276"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0.56</w:t>
            </w:r>
          </w:p>
        </w:tc>
        <w:tc>
          <w:tcPr>
            <w:tcW w:w="992"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nil"/>
              <w:left w:val="nil"/>
              <w:bottom w:val="single" w:color="auto"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2070199</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其他文化支出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0.56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47.93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2080501</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归口管理的行政单位离退休</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auto" w:sz="4" w:space="0"/>
            </w:tcBorders>
            <w:vAlign w:val="center"/>
          </w:tcPr>
          <w:p>
            <w:pPr>
              <w:widowControl/>
              <w:jc w:val="center"/>
              <w:rPr>
                <w:rFonts w:ascii="宋体" w:hAnsi="宋体" w:cs="Arial"/>
                <w:color w:val="000000"/>
                <w:kern w:val="0"/>
                <w:sz w:val="16"/>
                <w:szCs w:val="16"/>
              </w:rPr>
            </w:pPr>
            <w:r>
              <w:rPr>
                <w:rFonts w:ascii="宋体" w:hAnsi="宋体" w:cs="Arial"/>
                <w:color w:val="000000"/>
                <w:kern w:val="0"/>
                <w:sz w:val="16"/>
                <w:szCs w:val="16"/>
              </w:rPr>
              <w:t>2080505</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37.20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37.20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ascii="宋体" w:hAnsi="宋体" w:cs="Arial"/>
                <w:color w:val="000000"/>
                <w:kern w:val="0"/>
                <w:sz w:val="16"/>
                <w:szCs w:val="16"/>
              </w:rPr>
              <w:t>2080506</w:t>
            </w:r>
          </w:p>
        </w:tc>
        <w:tc>
          <w:tcPr>
            <w:tcW w:w="2410"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xml:space="preserve">  机关事业单位职业年金缴费支出</w:t>
            </w:r>
          </w:p>
        </w:tc>
        <w:tc>
          <w:tcPr>
            <w:tcW w:w="1275"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9.3</w:t>
            </w:r>
          </w:p>
        </w:tc>
        <w:tc>
          <w:tcPr>
            <w:tcW w:w="1276"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9.3</w:t>
            </w:r>
          </w:p>
        </w:tc>
        <w:tc>
          <w:tcPr>
            <w:tcW w:w="1276"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auto"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auto"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21007</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计划生育事物</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20100716</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计划生育机构</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8.44</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212</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城乡社区支出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299.39</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21299</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其他城乡社区支出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299.39</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299.39</w:t>
            </w: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2129999</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其他城乡社区支出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299.39</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299.39</w:t>
            </w: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农林水支出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440.69</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114.69</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326.00</w:t>
            </w: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21301</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农业</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55.20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55.20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2130104</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事业运行</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55.20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55.20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21305</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扶贫</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328.00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326.00</w:t>
            </w: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2130504</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农村基础设施建设</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328.00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2.00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326.00</w:t>
            </w: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21307</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农村综合改革</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57.50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57.50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2130705</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对村民委员会和村党支部的补助</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57.50</w:t>
            </w:r>
          </w:p>
        </w:tc>
        <w:tc>
          <w:tcPr>
            <w:tcW w:w="1276" w:type="dxa"/>
            <w:tcBorders>
              <w:top w:val="single" w:color="auto" w:sz="4" w:space="0"/>
              <w:left w:val="nil"/>
              <w:bottom w:val="single" w:color="000000" w:sz="4" w:space="0"/>
              <w:right w:val="single" w:color="000000" w:sz="4" w:space="0"/>
            </w:tcBorders>
            <w:vAlign w:val="center"/>
          </w:tcPr>
          <w:p>
            <w:pPr>
              <w:widowControl/>
              <w:ind w:right="80"/>
              <w:jc w:val="right"/>
              <w:rPr>
                <w:rFonts w:ascii="宋体" w:hAnsi="宋体" w:cs="Arial"/>
                <w:color w:val="000000"/>
                <w:kern w:val="0"/>
                <w:sz w:val="16"/>
                <w:szCs w:val="16"/>
              </w:rPr>
            </w:pPr>
            <w:r>
              <w:rPr>
                <w:rFonts w:hint="eastAsia" w:ascii="宋体" w:hAnsi="宋体" w:cs="Arial"/>
                <w:color w:val="000000"/>
                <w:kern w:val="0"/>
                <w:sz w:val="16"/>
                <w:szCs w:val="16"/>
              </w:rPr>
              <w:t>57.50</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住房保障支出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22102</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住房改革支出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2210201</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住房公积金</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22.42</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11.81</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11.81</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22999</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11.81</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11.81</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866" w:type="dxa"/>
            <w:gridSpan w:val="3"/>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2299901</w:t>
            </w:r>
          </w:p>
        </w:tc>
        <w:tc>
          <w:tcPr>
            <w:tcW w:w="2410"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275"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11.81</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11.81</w:t>
            </w:r>
          </w:p>
        </w:tc>
        <w:tc>
          <w:tcPr>
            <w:tcW w:w="1276"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992"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851"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6"/>
                <w:szCs w:val="16"/>
              </w:rPr>
            </w:pPr>
          </w:p>
        </w:tc>
        <w:tc>
          <w:tcPr>
            <w:tcW w:w="708" w:type="dxa"/>
            <w:tcBorders>
              <w:top w:val="single" w:color="auto" w:sz="4" w:space="0"/>
              <w:left w:val="nil"/>
              <w:bottom w:val="single" w:color="000000" w:sz="4" w:space="0"/>
              <w:right w:val="single" w:color="000000" w:sz="8" w:space="0"/>
            </w:tcBorders>
            <w:vAlign w:val="center"/>
          </w:tcPr>
          <w:p>
            <w:pPr>
              <w:widowControl/>
              <w:jc w:val="right"/>
              <w:rPr>
                <w:rFonts w:ascii="宋体" w:hAnsi="宋体" w:cs="Arial"/>
                <w:color w:val="000000"/>
                <w:kern w:val="0"/>
                <w:sz w:val="16"/>
                <w:szCs w:val="16"/>
              </w:rPr>
            </w:pPr>
          </w:p>
        </w:tc>
      </w:tr>
    </w:tbl>
    <w:p>
      <w:pPr>
        <w:rPr>
          <w:rFonts w:ascii="仿宋_GB2312" w:eastAsia="仿宋_GB2312"/>
          <w:b/>
          <w:sz w:val="32"/>
          <w:szCs w:val="32"/>
        </w:rPr>
      </w:pPr>
    </w:p>
    <w:tbl>
      <w:tblPr>
        <w:tblStyle w:val="8"/>
        <w:tblW w:w="11125" w:type="dxa"/>
        <w:jc w:val="center"/>
        <w:tblLayout w:type="fixed"/>
        <w:tblCellMar>
          <w:top w:w="0" w:type="dxa"/>
          <w:left w:w="108" w:type="dxa"/>
          <w:bottom w:w="0" w:type="dxa"/>
          <w:right w:w="108" w:type="dxa"/>
        </w:tblCellMar>
      </w:tblPr>
      <w:tblGrid>
        <w:gridCol w:w="2266"/>
        <w:gridCol w:w="580"/>
        <w:gridCol w:w="851"/>
        <w:gridCol w:w="2126"/>
        <w:gridCol w:w="567"/>
        <w:gridCol w:w="744"/>
        <w:gridCol w:w="1949"/>
        <w:gridCol w:w="2042"/>
      </w:tblGrid>
      <w:tr>
        <w:tblPrEx>
          <w:tblCellMar>
            <w:top w:w="0" w:type="dxa"/>
            <w:left w:w="108" w:type="dxa"/>
            <w:bottom w:w="0" w:type="dxa"/>
            <w:right w:w="108" w:type="dxa"/>
          </w:tblCellMar>
        </w:tblPrEx>
        <w:trPr>
          <w:trHeight w:val="255" w:hRule="atLeast"/>
          <w:jc w:val="center"/>
        </w:trPr>
        <w:tc>
          <w:tcPr>
            <w:tcW w:w="11125" w:type="dxa"/>
            <w:gridSpan w:val="8"/>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CellMar>
            <w:top w:w="0" w:type="dxa"/>
            <w:left w:w="108" w:type="dxa"/>
            <w:bottom w:w="0" w:type="dxa"/>
            <w:right w:w="108" w:type="dxa"/>
          </w:tblCellMar>
        </w:tblPrEx>
        <w:trPr>
          <w:trHeight w:val="225" w:hRule="atLeast"/>
          <w:jc w:val="center"/>
        </w:trPr>
        <w:tc>
          <w:tcPr>
            <w:tcW w:w="226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5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12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567"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4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94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042"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CellMar>
            <w:top w:w="0" w:type="dxa"/>
            <w:left w:w="108" w:type="dxa"/>
            <w:bottom w:w="0" w:type="dxa"/>
            <w:right w:w="108" w:type="dxa"/>
          </w:tblCellMar>
        </w:tblPrEx>
        <w:trPr>
          <w:trHeight w:val="225" w:hRule="atLeast"/>
          <w:jc w:val="center"/>
        </w:trPr>
        <w:tc>
          <w:tcPr>
            <w:tcW w:w="3697" w:type="dxa"/>
            <w:gridSpan w:val="3"/>
            <w:tcBorders>
              <w:top w:val="nil"/>
              <w:left w:val="nil"/>
              <w:bottom w:val="nil"/>
              <w:right w:val="nil"/>
            </w:tcBorders>
            <w:vAlign w:val="bottom"/>
          </w:tcPr>
          <w:p>
            <w:pPr>
              <w:widowControl/>
              <w:jc w:val="left"/>
              <w:rPr>
                <w:rFonts w:ascii="Arial" w:hAnsi="Arial" w:cs="Arial"/>
                <w:color w:val="000000"/>
                <w:kern w:val="0"/>
                <w:sz w:val="16"/>
                <w:szCs w:val="16"/>
              </w:rPr>
            </w:pPr>
            <w:r>
              <w:rPr>
                <w:rFonts w:hint="eastAsia" w:ascii="宋体" w:hAnsi="宋体" w:cs="Arial"/>
                <w:color w:val="000000"/>
                <w:kern w:val="0"/>
                <w:sz w:val="16"/>
                <w:szCs w:val="16"/>
              </w:rPr>
              <w:t>部门：贵德县</w:t>
            </w:r>
            <w:r>
              <w:rPr>
                <w:rFonts w:hint="eastAsia" w:ascii="宋体" w:hAnsi="宋体" w:cs="Arial"/>
                <w:color w:val="000000"/>
                <w:kern w:val="0"/>
                <w:sz w:val="16"/>
                <w:szCs w:val="16"/>
                <w:lang w:eastAsia="zh-CN"/>
              </w:rPr>
              <w:t>贵德县新街</w:t>
            </w:r>
            <w:r>
              <w:rPr>
                <w:rFonts w:hint="eastAsia" w:ascii="宋体" w:hAnsi="宋体" w:cs="Arial"/>
                <w:color w:val="000000"/>
                <w:kern w:val="0"/>
                <w:sz w:val="16"/>
                <w:szCs w:val="16"/>
              </w:rPr>
              <w:t>回族乡</w:t>
            </w:r>
          </w:p>
        </w:tc>
        <w:tc>
          <w:tcPr>
            <w:tcW w:w="212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567"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744"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194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042" w:type="dxa"/>
            <w:tcBorders>
              <w:top w:val="nil"/>
              <w:left w:val="nil"/>
              <w:bottom w:val="nil"/>
              <w:right w:val="nil"/>
            </w:tcBorders>
            <w:vAlign w:val="bottom"/>
          </w:tcPr>
          <w:p>
            <w:pPr>
              <w:widowControl/>
              <w:ind w:right="160"/>
              <w:jc w:val="right"/>
              <w:rPr>
                <w:rFonts w:ascii="宋体" w:hAnsi="宋体" w:cs="Arial"/>
                <w:color w:val="000000"/>
                <w:kern w:val="0"/>
                <w:sz w:val="16"/>
                <w:szCs w:val="16"/>
              </w:rPr>
            </w:pPr>
            <w:r>
              <w:rPr>
                <w:rFonts w:hint="eastAsia" w:ascii="宋体" w:hAnsi="宋体" w:cs="Arial"/>
                <w:color w:val="000000"/>
                <w:kern w:val="0"/>
                <w:sz w:val="16"/>
                <w:szCs w:val="16"/>
              </w:rPr>
              <w:t>单位：万元</w:t>
            </w:r>
          </w:p>
        </w:tc>
      </w:tr>
      <w:tr>
        <w:tblPrEx>
          <w:tblCellMar>
            <w:top w:w="0" w:type="dxa"/>
            <w:left w:w="108" w:type="dxa"/>
            <w:bottom w:w="0" w:type="dxa"/>
            <w:right w:w="108" w:type="dxa"/>
          </w:tblCellMar>
        </w:tblPrEx>
        <w:trPr>
          <w:trHeight w:val="308" w:hRule="atLeast"/>
          <w:jc w:val="center"/>
        </w:trPr>
        <w:tc>
          <w:tcPr>
            <w:tcW w:w="3697"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7428" w:type="dxa"/>
            <w:gridSpan w:val="5"/>
            <w:tcBorders>
              <w:top w:val="single" w:color="000000" w:sz="8"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CellMar>
            <w:top w:w="0" w:type="dxa"/>
            <w:left w:w="108" w:type="dxa"/>
            <w:bottom w:w="0" w:type="dxa"/>
            <w:right w:w="108" w:type="dxa"/>
          </w:tblCellMar>
        </w:tblPrEx>
        <w:trPr>
          <w:trHeight w:val="293" w:hRule="atLeast"/>
          <w:jc w:val="center"/>
        </w:trPr>
        <w:tc>
          <w:tcPr>
            <w:tcW w:w="2266" w:type="dxa"/>
            <w:vMerge w:val="restart"/>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580"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851"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126"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567" w:type="dxa"/>
            <w:vMerge w:val="restart"/>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4735"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CellMar>
            <w:top w:w="0" w:type="dxa"/>
            <w:left w:w="108" w:type="dxa"/>
            <w:bottom w:w="0" w:type="dxa"/>
            <w:right w:w="108" w:type="dxa"/>
          </w:tblCellMar>
        </w:tblPrEx>
        <w:trPr>
          <w:trHeight w:val="615" w:hRule="atLeast"/>
          <w:jc w:val="center"/>
        </w:trPr>
        <w:tc>
          <w:tcPr>
            <w:tcW w:w="2266" w:type="dxa"/>
            <w:vMerge w:val="continue"/>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vMerge w:val="continue"/>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851" w:type="dxa"/>
            <w:vMerge w:val="continue"/>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vMerge w:val="continue"/>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67" w:type="dxa"/>
            <w:vMerge w:val="continue"/>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478.78</w:t>
            </w: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273.00</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273.00</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47.93</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47.93</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8.44</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8.44</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114.69</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114.69</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22.42</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22.42</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11.81</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11.81</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478.78</w:t>
            </w: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478.30</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478.30</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2.81</w:t>
            </w: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3.29</w:t>
            </w: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3.29</w:t>
            </w: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2.81</w:t>
            </w: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580"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851"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w:t>
            </w:r>
          </w:p>
        </w:tc>
        <w:tc>
          <w:tcPr>
            <w:tcW w:w="2126"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567"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744"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1949"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c>
          <w:tcPr>
            <w:tcW w:w="2042" w:type="dxa"/>
            <w:tcBorders>
              <w:top w:val="nil"/>
              <w:left w:val="nil"/>
              <w:bottom w:val="single" w:color="000000" w:sz="4"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308" w:hRule="atLeast"/>
          <w:jc w:val="center"/>
        </w:trPr>
        <w:tc>
          <w:tcPr>
            <w:tcW w:w="2266" w:type="dxa"/>
            <w:tcBorders>
              <w:top w:val="nil"/>
              <w:left w:val="single" w:color="000000" w:sz="8" w:space="0"/>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580"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851"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481.59</w:t>
            </w:r>
          </w:p>
        </w:tc>
        <w:tc>
          <w:tcPr>
            <w:tcW w:w="2126"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567"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744"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481.59</w:t>
            </w:r>
          </w:p>
        </w:tc>
        <w:tc>
          <w:tcPr>
            <w:tcW w:w="1949"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481.59</w:t>
            </w:r>
          </w:p>
        </w:tc>
        <w:tc>
          <w:tcPr>
            <w:tcW w:w="2042" w:type="dxa"/>
            <w:tcBorders>
              <w:top w:val="nil"/>
              <w:left w:val="nil"/>
              <w:bottom w:val="single" w:color="000000" w:sz="8" w:space="0"/>
              <w:right w:val="single" w:color="000000" w:sz="4" w:space="0"/>
            </w:tcBorders>
            <w:vAlign w:val="center"/>
          </w:tcPr>
          <w:p>
            <w:pPr>
              <w:widowControl/>
              <w:jc w:val="center"/>
              <w:rPr>
                <w:rFonts w:ascii="仿宋_GB2312" w:hAnsi="Arial" w:eastAsia="仿宋_GB2312" w:cs="Arial"/>
                <w:color w:val="000000"/>
                <w:kern w:val="0"/>
                <w:sz w:val="16"/>
                <w:szCs w:val="16"/>
              </w:rPr>
            </w:pPr>
          </w:p>
        </w:tc>
      </w:tr>
    </w:tbl>
    <w:p>
      <w:pPr>
        <w:rPr>
          <w:rFonts w:ascii="仿宋_GB2312" w:eastAsia="仿宋_GB2312"/>
          <w:b/>
          <w:sz w:val="32"/>
          <w:szCs w:val="32"/>
        </w:rPr>
      </w:pPr>
    </w:p>
    <w:tbl>
      <w:tblPr>
        <w:tblStyle w:val="8"/>
        <w:tblW w:w="10241" w:type="dxa"/>
        <w:tblInd w:w="93" w:type="dxa"/>
        <w:tblLayout w:type="fixed"/>
        <w:tblCellMar>
          <w:top w:w="0" w:type="dxa"/>
          <w:left w:w="108" w:type="dxa"/>
          <w:bottom w:w="0" w:type="dxa"/>
          <w:right w:w="108" w:type="dxa"/>
        </w:tblCellMar>
      </w:tblPr>
      <w:tblGrid>
        <w:gridCol w:w="340"/>
        <w:gridCol w:w="100"/>
        <w:gridCol w:w="142"/>
        <w:gridCol w:w="98"/>
        <w:gridCol w:w="220"/>
        <w:gridCol w:w="180"/>
        <w:gridCol w:w="230"/>
        <w:gridCol w:w="265"/>
        <w:gridCol w:w="45"/>
        <w:gridCol w:w="379"/>
        <w:gridCol w:w="284"/>
        <w:gridCol w:w="38"/>
        <w:gridCol w:w="210"/>
        <w:gridCol w:w="373"/>
        <w:gridCol w:w="316"/>
        <w:gridCol w:w="56"/>
        <w:gridCol w:w="124"/>
        <w:gridCol w:w="81"/>
        <w:gridCol w:w="31"/>
        <w:gridCol w:w="359"/>
        <w:gridCol w:w="31"/>
        <w:gridCol w:w="278"/>
        <w:gridCol w:w="88"/>
        <w:gridCol w:w="171"/>
        <w:gridCol w:w="31"/>
        <w:gridCol w:w="70"/>
        <w:gridCol w:w="100"/>
        <w:gridCol w:w="337"/>
        <w:gridCol w:w="163"/>
        <w:gridCol w:w="404"/>
        <w:gridCol w:w="136"/>
        <w:gridCol w:w="100"/>
        <w:gridCol w:w="31"/>
        <w:gridCol w:w="289"/>
        <w:gridCol w:w="45"/>
        <w:gridCol w:w="298"/>
        <w:gridCol w:w="31"/>
        <w:gridCol w:w="138"/>
        <w:gridCol w:w="208"/>
        <w:gridCol w:w="62"/>
        <w:gridCol w:w="31"/>
        <w:gridCol w:w="147"/>
        <w:gridCol w:w="82"/>
        <w:gridCol w:w="103"/>
        <w:gridCol w:w="238"/>
        <w:gridCol w:w="109"/>
        <w:gridCol w:w="368"/>
        <w:gridCol w:w="40"/>
        <w:gridCol w:w="237"/>
        <w:gridCol w:w="823"/>
        <w:gridCol w:w="40"/>
        <w:gridCol w:w="129"/>
        <w:gridCol w:w="249"/>
        <w:gridCol w:w="65"/>
        <w:gridCol w:w="31"/>
        <w:gridCol w:w="364"/>
        <w:gridCol w:w="303"/>
      </w:tblGrid>
      <w:tr>
        <w:tblPrEx>
          <w:tblCellMar>
            <w:top w:w="0" w:type="dxa"/>
            <w:left w:w="108" w:type="dxa"/>
            <w:bottom w:w="0" w:type="dxa"/>
            <w:right w:w="108" w:type="dxa"/>
          </w:tblCellMar>
        </w:tblPrEx>
        <w:trPr>
          <w:gridAfter w:val="4"/>
          <w:wAfter w:w="763" w:type="dxa"/>
          <w:trHeight w:val="300" w:hRule="atLeast"/>
        </w:trPr>
        <w:tc>
          <w:tcPr>
            <w:tcW w:w="9478" w:type="dxa"/>
            <w:gridSpan w:val="5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CellMar>
            <w:top w:w="0" w:type="dxa"/>
            <w:left w:w="108" w:type="dxa"/>
            <w:bottom w:w="0" w:type="dxa"/>
            <w:right w:w="108" w:type="dxa"/>
          </w:tblCellMar>
        </w:tblPrEx>
        <w:trPr>
          <w:gridAfter w:val="4"/>
          <w:wAfter w:w="763" w:type="dxa"/>
          <w:trHeight w:val="240" w:hRule="atLeast"/>
        </w:trPr>
        <w:tc>
          <w:tcPr>
            <w:tcW w:w="1575" w:type="dxa"/>
            <w:gridSpan w:val="8"/>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956" w:type="dxa"/>
            <w:gridSpan w:val="5"/>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373" w:type="dxa"/>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736" w:type="dxa"/>
            <w:gridSpan w:val="1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505" w:type="dxa"/>
            <w:gridSpan w:val="8"/>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447" w:type="dxa"/>
            <w:gridSpan w:val="11"/>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86" w:type="dxa"/>
            <w:gridSpan w:val="7"/>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CellMar>
            <w:top w:w="0" w:type="dxa"/>
            <w:left w:w="108" w:type="dxa"/>
            <w:bottom w:w="0" w:type="dxa"/>
            <w:right w:w="108" w:type="dxa"/>
          </w:tblCellMar>
        </w:tblPrEx>
        <w:trPr>
          <w:gridAfter w:val="4"/>
          <w:wAfter w:w="763" w:type="dxa"/>
          <w:trHeight w:val="255" w:hRule="atLeast"/>
        </w:trPr>
        <w:tc>
          <w:tcPr>
            <w:tcW w:w="4640" w:type="dxa"/>
            <w:gridSpan w:val="27"/>
            <w:tcBorders>
              <w:top w:val="nil"/>
              <w:left w:val="nil"/>
              <w:bottom w:val="nil"/>
              <w:right w:val="nil"/>
            </w:tcBorders>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部门：贵德县</w:t>
            </w:r>
            <w:r>
              <w:rPr>
                <w:rFonts w:hint="eastAsia" w:ascii="仿宋_GB2312" w:hAnsi="Arial" w:eastAsia="仿宋_GB2312" w:cs="Arial"/>
                <w:color w:val="000000"/>
                <w:kern w:val="0"/>
                <w:sz w:val="16"/>
                <w:szCs w:val="16"/>
                <w:lang w:eastAsia="zh-CN"/>
              </w:rPr>
              <w:t>贵德县新街</w:t>
            </w:r>
            <w:r>
              <w:rPr>
                <w:rFonts w:hint="eastAsia" w:ascii="仿宋_GB2312" w:hAnsi="Arial" w:eastAsia="仿宋_GB2312" w:cs="Arial"/>
                <w:color w:val="000000"/>
                <w:kern w:val="0"/>
                <w:sz w:val="16"/>
                <w:szCs w:val="16"/>
              </w:rPr>
              <w:t>回族乡</w:t>
            </w:r>
          </w:p>
        </w:tc>
        <w:tc>
          <w:tcPr>
            <w:tcW w:w="1505" w:type="dxa"/>
            <w:gridSpan w:val="8"/>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447" w:type="dxa"/>
            <w:gridSpan w:val="11"/>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c>
        <w:tc>
          <w:tcPr>
            <w:tcW w:w="1886" w:type="dxa"/>
            <w:gridSpan w:val="7"/>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4"/>
          <w:wAfter w:w="763" w:type="dxa"/>
          <w:trHeight w:val="255" w:hRule="atLeast"/>
        </w:trPr>
        <w:tc>
          <w:tcPr>
            <w:tcW w:w="4640" w:type="dxa"/>
            <w:gridSpan w:val="27"/>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505"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447" w:type="dxa"/>
            <w:gridSpan w:val="11"/>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1886"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CellMar>
            <w:top w:w="0" w:type="dxa"/>
            <w:left w:w="108" w:type="dxa"/>
            <w:bottom w:w="0" w:type="dxa"/>
            <w:right w:w="108" w:type="dxa"/>
          </w:tblCellMar>
        </w:tblPrEx>
        <w:trPr>
          <w:gridAfter w:val="4"/>
          <w:wAfter w:w="763" w:type="dxa"/>
          <w:trHeight w:val="615" w:hRule="atLeast"/>
        </w:trPr>
        <w:tc>
          <w:tcPr>
            <w:tcW w:w="2904" w:type="dxa"/>
            <w:gridSpan w:val="14"/>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1736" w:type="dxa"/>
            <w:gridSpan w:val="13"/>
            <w:tcBorders>
              <w:top w:val="nil"/>
              <w:left w:val="nil"/>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50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447"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86"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CellMar>
            <w:top w:w="0" w:type="dxa"/>
            <w:left w:w="108" w:type="dxa"/>
            <w:bottom w:w="0" w:type="dxa"/>
            <w:right w:w="108" w:type="dxa"/>
          </w:tblCellMar>
        </w:tblPrEx>
        <w:trPr>
          <w:gridAfter w:val="4"/>
          <w:wAfter w:w="763" w:type="dxa"/>
          <w:trHeight w:val="255" w:hRule="atLeast"/>
        </w:trPr>
        <w:tc>
          <w:tcPr>
            <w:tcW w:w="1310" w:type="dxa"/>
            <w:gridSpan w:val="7"/>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689"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905"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736" w:type="dxa"/>
            <w:gridSpan w:val="1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505" w:type="dxa"/>
            <w:gridSpan w:val="8"/>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447" w:type="dxa"/>
            <w:gridSpan w:val="11"/>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886"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CellMar>
            <w:top w:w="0" w:type="dxa"/>
            <w:left w:w="108" w:type="dxa"/>
            <w:bottom w:w="0" w:type="dxa"/>
            <w:right w:w="108" w:type="dxa"/>
          </w:tblCellMar>
        </w:tblPrEx>
        <w:trPr>
          <w:gridAfter w:val="4"/>
          <w:wAfter w:w="763" w:type="dxa"/>
          <w:trHeight w:val="255" w:hRule="atLeast"/>
        </w:trPr>
        <w:tc>
          <w:tcPr>
            <w:tcW w:w="1310" w:type="dxa"/>
            <w:gridSpan w:val="7"/>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689"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905"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1736" w:type="dxa"/>
            <w:gridSpan w:val="13"/>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505" w:type="dxa"/>
            <w:gridSpan w:val="8"/>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478.30</w:t>
            </w:r>
          </w:p>
        </w:tc>
        <w:tc>
          <w:tcPr>
            <w:tcW w:w="1447" w:type="dxa"/>
            <w:gridSpan w:val="11"/>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478.30</w:t>
            </w:r>
          </w:p>
        </w:tc>
        <w:tc>
          <w:tcPr>
            <w:tcW w:w="1886"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6"/>
                <w:szCs w:val="16"/>
              </w:rPr>
            </w:pPr>
          </w:p>
        </w:tc>
      </w:tr>
      <w:tr>
        <w:tblPrEx>
          <w:tblCellMar>
            <w:top w:w="0" w:type="dxa"/>
            <w:left w:w="108" w:type="dxa"/>
            <w:bottom w:w="0" w:type="dxa"/>
            <w:right w:w="108" w:type="dxa"/>
          </w:tblCellMar>
        </w:tblPrEx>
        <w:trPr>
          <w:gridAfter w:val="4"/>
          <w:wAfter w:w="763" w:type="dxa"/>
          <w:trHeight w:val="300" w:hRule="atLeast"/>
        </w:trPr>
        <w:tc>
          <w:tcPr>
            <w:tcW w:w="2904" w:type="dxa"/>
            <w:gridSpan w:val="1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201</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一般公共服务支出</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273.01</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273.01</w:t>
            </w:r>
          </w:p>
        </w:tc>
        <w:tc>
          <w:tcPr>
            <w:tcW w:w="1886" w:type="dxa"/>
            <w:gridSpan w:val="7"/>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r>
      <w:tr>
        <w:tblPrEx>
          <w:tblCellMar>
            <w:top w:w="0" w:type="dxa"/>
            <w:left w:w="108" w:type="dxa"/>
            <w:bottom w:w="0" w:type="dxa"/>
            <w:right w:w="108" w:type="dxa"/>
          </w:tblCellMar>
        </w:tblPrEx>
        <w:trPr>
          <w:gridAfter w:val="4"/>
          <w:wAfter w:w="763" w:type="dxa"/>
          <w:trHeight w:val="300" w:hRule="atLeast"/>
        </w:trPr>
        <w:tc>
          <w:tcPr>
            <w:tcW w:w="2904" w:type="dxa"/>
            <w:gridSpan w:val="1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20103</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政府办公厅（室）及相关机构事务</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272.00</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272.00</w:t>
            </w:r>
          </w:p>
        </w:tc>
        <w:tc>
          <w:tcPr>
            <w:tcW w:w="1886" w:type="dxa"/>
            <w:gridSpan w:val="7"/>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r>
      <w:tr>
        <w:tblPrEx>
          <w:tblCellMar>
            <w:top w:w="0" w:type="dxa"/>
            <w:left w:w="108" w:type="dxa"/>
            <w:bottom w:w="0" w:type="dxa"/>
            <w:right w:w="108" w:type="dxa"/>
          </w:tblCellMar>
        </w:tblPrEx>
        <w:trPr>
          <w:gridAfter w:val="4"/>
          <w:wAfter w:w="763" w:type="dxa"/>
          <w:trHeight w:val="300" w:hRule="atLeast"/>
        </w:trPr>
        <w:tc>
          <w:tcPr>
            <w:tcW w:w="2904" w:type="dxa"/>
            <w:gridSpan w:val="1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2010301</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行政运行</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214.71</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214.71</w:t>
            </w:r>
          </w:p>
        </w:tc>
        <w:tc>
          <w:tcPr>
            <w:tcW w:w="1886" w:type="dxa"/>
            <w:gridSpan w:val="7"/>
            <w:tcBorders>
              <w:top w:val="nil"/>
              <w:left w:val="nil"/>
              <w:bottom w:val="single" w:color="auto" w:sz="4" w:space="0"/>
              <w:right w:val="single" w:color="auto" w:sz="4" w:space="0"/>
            </w:tcBorders>
            <w:vAlign w:val="bottom"/>
          </w:tcPr>
          <w:p>
            <w:pPr>
              <w:widowControl/>
              <w:jc w:val="center"/>
              <w:rPr>
                <w:rFonts w:ascii="Arial" w:hAnsi="Arial" w:cs="Arial"/>
                <w:b/>
                <w:bCs/>
                <w:color w:val="000000"/>
                <w:kern w:val="0"/>
                <w:sz w:val="22"/>
                <w:szCs w:val="22"/>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2010303</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机关服务</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57.30</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57.30</w:t>
            </w:r>
          </w:p>
        </w:tc>
        <w:tc>
          <w:tcPr>
            <w:tcW w:w="1886"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20132</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组织事务</w:t>
            </w:r>
          </w:p>
        </w:tc>
        <w:tc>
          <w:tcPr>
            <w:tcW w:w="150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1.00</w:t>
            </w:r>
          </w:p>
        </w:tc>
        <w:tc>
          <w:tcPr>
            <w:tcW w:w="1447"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1.00</w:t>
            </w:r>
          </w:p>
        </w:tc>
        <w:tc>
          <w:tcPr>
            <w:tcW w:w="188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2013299</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其他组织事务支出</w:t>
            </w:r>
          </w:p>
        </w:tc>
        <w:tc>
          <w:tcPr>
            <w:tcW w:w="150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1.00</w:t>
            </w:r>
          </w:p>
        </w:tc>
        <w:tc>
          <w:tcPr>
            <w:tcW w:w="1447"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1.00</w:t>
            </w:r>
          </w:p>
        </w:tc>
        <w:tc>
          <w:tcPr>
            <w:tcW w:w="188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社会保障和就业支出</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47.93</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47.93</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行政事业单位离退休</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47.93</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47.93</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2080501</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xml:space="preserve">  归口管理的行政单位离退休</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1.43</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1.43</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2080505</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机关事业单位基本养老保险缴费支出</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37.20</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37.20</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2080506</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机关事业单位职业年金缴费支出</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9.3</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9.3</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医疗卫生与计划生育支出</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8.44</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8.44</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21007</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计划生育事务</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8.44</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8.44</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2100716</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计划生育机构</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8.44</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8.44</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农林水支出</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114.69</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114.69</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21301</w:t>
            </w:r>
          </w:p>
        </w:tc>
        <w:tc>
          <w:tcPr>
            <w:tcW w:w="1736" w:type="dxa"/>
            <w:gridSpan w:val="1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农业</w:t>
            </w:r>
          </w:p>
        </w:tc>
        <w:tc>
          <w:tcPr>
            <w:tcW w:w="150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55.20</w:t>
            </w:r>
          </w:p>
        </w:tc>
        <w:tc>
          <w:tcPr>
            <w:tcW w:w="1447"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55.20</w:t>
            </w:r>
          </w:p>
        </w:tc>
        <w:tc>
          <w:tcPr>
            <w:tcW w:w="1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2130104</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事业运行</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55.20</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55.20</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21305</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扶贫</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2.00</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2.00</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2130504</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农村基础设施建设</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2.00</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2.00</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21307</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农村综合改革</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57.50</w:t>
            </w:r>
          </w:p>
        </w:tc>
        <w:tc>
          <w:tcPr>
            <w:tcW w:w="1447" w:type="dxa"/>
            <w:gridSpan w:val="11"/>
            <w:tcBorders>
              <w:top w:val="nil"/>
              <w:left w:val="nil"/>
              <w:bottom w:val="single" w:color="auto" w:sz="4" w:space="0"/>
              <w:right w:val="single" w:color="auto" w:sz="4" w:space="0"/>
            </w:tcBorders>
            <w:vAlign w:val="center"/>
          </w:tcPr>
          <w:p>
            <w:pPr>
              <w:widowControl/>
              <w:ind w:right="80"/>
              <w:jc w:val="center"/>
              <w:rPr>
                <w:rFonts w:ascii="宋体" w:hAnsi="宋体" w:cs="Arial"/>
                <w:color w:val="000000"/>
                <w:kern w:val="0"/>
                <w:sz w:val="16"/>
                <w:szCs w:val="16"/>
              </w:rPr>
            </w:pPr>
            <w:r>
              <w:rPr>
                <w:rFonts w:hint="eastAsia" w:ascii="宋体" w:hAnsi="宋体" w:cs="Arial"/>
                <w:color w:val="000000"/>
                <w:kern w:val="0"/>
                <w:sz w:val="16"/>
                <w:szCs w:val="16"/>
              </w:rPr>
              <w:t>57.50</w:t>
            </w:r>
          </w:p>
        </w:tc>
        <w:tc>
          <w:tcPr>
            <w:tcW w:w="1886"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2130705</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5"/>
                <w:szCs w:val="15"/>
              </w:rPr>
            </w:pPr>
            <w:r>
              <w:rPr>
                <w:rFonts w:hint="eastAsia" w:ascii="宋体" w:hAnsi="宋体" w:cs="Arial"/>
                <w:color w:val="000000"/>
                <w:kern w:val="0"/>
                <w:sz w:val="15"/>
                <w:szCs w:val="15"/>
              </w:rPr>
              <w:t>对村民委员会和村党支部的补助</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57.50</w:t>
            </w:r>
          </w:p>
        </w:tc>
        <w:tc>
          <w:tcPr>
            <w:tcW w:w="1447" w:type="dxa"/>
            <w:gridSpan w:val="11"/>
            <w:tcBorders>
              <w:top w:val="nil"/>
              <w:left w:val="nil"/>
              <w:bottom w:val="single" w:color="auto" w:sz="4" w:space="0"/>
              <w:right w:val="single" w:color="auto" w:sz="4" w:space="0"/>
            </w:tcBorders>
            <w:vAlign w:val="center"/>
          </w:tcPr>
          <w:p>
            <w:pPr>
              <w:widowControl/>
              <w:ind w:right="80"/>
              <w:jc w:val="center"/>
              <w:rPr>
                <w:rFonts w:ascii="宋体" w:hAnsi="宋体" w:cs="Arial"/>
                <w:color w:val="000000"/>
                <w:kern w:val="0"/>
                <w:sz w:val="16"/>
                <w:szCs w:val="16"/>
              </w:rPr>
            </w:pPr>
            <w:r>
              <w:rPr>
                <w:rFonts w:hint="eastAsia" w:ascii="宋体" w:hAnsi="宋体" w:cs="Arial"/>
                <w:color w:val="000000"/>
                <w:kern w:val="0"/>
                <w:sz w:val="16"/>
                <w:szCs w:val="16"/>
              </w:rPr>
              <w:t>57.50</w:t>
            </w:r>
          </w:p>
        </w:tc>
        <w:tc>
          <w:tcPr>
            <w:tcW w:w="1886" w:type="dxa"/>
            <w:gridSpan w:val="7"/>
            <w:tcBorders>
              <w:top w:val="nil"/>
              <w:left w:val="nil"/>
              <w:bottom w:val="single" w:color="auto" w:sz="4" w:space="0"/>
              <w:right w:val="single" w:color="auto" w:sz="4" w:space="0"/>
            </w:tcBorders>
            <w:vAlign w:val="bottom"/>
          </w:tcPr>
          <w:p>
            <w:pPr>
              <w:widowControl/>
              <w:jc w:val="center"/>
              <w:rPr>
                <w:rFonts w:ascii="Arial" w:hAnsi="Arial" w:cs="Arial"/>
                <w:color w:val="000000"/>
                <w:kern w:val="0"/>
                <w:sz w:val="22"/>
                <w:szCs w:val="22"/>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住房保障支出</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22.42</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22.42</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22102</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住房改革支出</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22.42</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22.42</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2210201</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xml:space="preserve">  住房公积金</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22.42</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22.42</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11.81</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11.81</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22999</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11.81</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11.81</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285" w:hRule="atLeast"/>
        </w:trPr>
        <w:tc>
          <w:tcPr>
            <w:tcW w:w="290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2299901</w:t>
            </w:r>
          </w:p>
        </w:tc>
        <w:tc>
          <w:tcPr>
            <w:tcW w:w="1736" w:type="dxa"/>
            <w:gridSpan w:val="13"/>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其他支出</w:t>
            </w:r>
          </w:p>
        </w:tc>
        <w:tc>
          <w:tcPr>
            <w:tcW w:w="1505" w:type="dxa"/>
            <w:gridSpan w:val="8"/>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11.81</w:t>
            </w:r>
          </w:p>
        </w:tc>
        <w:tc>
          <w:tcPr>
            <w:tcW w:w="1447" w:type="dxa"/>
            <w:gridSpan w:val="11"/>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11.81</w:t>
            </w:r>
          </w:p>
        </w:tc>
        <w:tc>
          <w:tcPr>
            <w:tcW w:w="1886" w:type="dxa"/>
            <w:gridSpan w:val="7"/>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16"/>
                <w:szCs w:val="16"/>
              </w:rPr>
            </w:pPr>
          </w:p>
        </w:tc>
      </w:tr>
      <w:tr>
        <w:tblPrEx>
          <w:tblCellMar>
            <w:top w:w="0" w:type="dxa"/>
            <w:left w:w="108" w:type="dxa"/>
            <w:bottom w:w="0" w:type="dxa"/>
            <w:right w:w="108" w:type="dxa"/>
          </w:tblCellMar>
        </w:tblPrEx>
        <w:trPr>
          <w:gridAfter w:val="4"/>
          <w:wAfter w:w="763" w:type="dxa"/>
          <w:trHeight w:val="300" w:hRule="atLeast"/>
        </w:trPr>
        <w:tc>
          <w:tcPr>
            <w:tcW w:w="9478" w:type="dxa"/>
            <w:gridSpan w:val="53"/>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p>
          <w:tbl>
            <w:tblPr>
              <w:tblStyle w:val="8"/>
              <w:tblW w:w="9672" w:type="dxa"/>
              <w:tblInd w:w="0" w:type="dxa"/>
              <w:tblLayout w:type="fixed"/>
              <w:tblCellMar>
                <w:top w:w="0" w:type="dxa"/>
                <w:left w:w="108" w:type="dxa"/>
                <w:bottom w:w="0" w:type="dxa"/>
                <w:right w:w="108" w:type="dxa"/>
              </w:tblCellMar>
            </w:tblPr>
            <w:tblGrid>
              <w:gridCol w:w="616"/>
              <w:gridCol w:w="142"/>
              <w:gridCol w:w="1559"/>
              <w:gridCol w:w="569"/>
              <w:gridCol w:w="236"/>
              <w:gridCol w:w="46"/>
              <w:gridCol w:w="708"/>
              <w:gridCol w:w="662"/>
              <w:gridCol w:w="1181"/>
              <w:gridCol w:w="289"/>
              <w:gridCol w:w="420"/>
              <w:gridCol w:w="185"/>
              <w:gridCol w:w="524"/>
              <w:gridCol w:w="92"/>
              <w:gridCol w:w="1325"/>
              <w:gridCol w:w="675"/>
              <w:gridCol w:w="34"/>
              <w:gridCol w:w="409"/>
            </w:tblGrid>
            <w:tr>
              <w:tblPrEx>
                <w:tblCellMar>
                  <w:top w:w="0" w:type="dxa"/>
                  <w:left w:w="108" w:type="dxa"/>
                  <w:bottom w:w="0" w:type="dxa"/>
                  <w:right w:w="108" w:type="dxa"/>
                </w:tblCellMar>
              </w:tblPrEx>
              <w:trPr>
                <w:gridAfter w:val="2"/>
                <w:wAfter w:w="443" w:type="dxa"/>
                <w:trHeight w:val="300" w:hRule="atLeast"/>
              </w:trPr>
              <w:tc>
                <w:tcPr>
                  <w:tcW w:w="9229" w:type="dxa"/>
                  <w:gridSpan w:val="16"/>
                  <w:tcBorders>
                    <w:top w:val="nil"/>
                    <w:left w:val="nil"/>
                    <w:bottom w:val="nil"/>
                    <w:right w:val="nil"/>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一般公共预算财政拨款基本支出决算表</w:t>
                  </w:r>
                </w:p>
              </w:tc>
            </w:tr>
            <w:tr>
              <w:tblPrEx>
                <w:tblCellMar>
                  <w:top w:w="0" w:type="dxa"/>
                  <w:left w:w="108" w:type="dxa"/>
                  <w:bottom w:w="0" w:type="dxa"/>
                  <w:right w:w="108" w:type="dxa"/>
                </w:tblCellMar>
              </w:tblPrEx>
              <w:trPr>
                <w:trHeight w:val="255" w:hRule="atLeast"/>
              </w:trPr>
              <w:tc>
                <w:tcPr>
                  <w:tcW w:w="616" w:type="dxa"/>
                  <w:tcBorders>
                    <w:top w:val="nil"/>
                    <w:left w:val="nil"/>
                    <w:bottom w:val="nil"/>
                    <w:right w:val="nil"/>
                  </w:tcBorders>
                  <w:vAlign w:val="bottom"/>
                </w:tcPr>
                <w:p>
                  <w:pPr>
                    <w:widowControl/>
                    <w:jc w:val="left"/>
                    <w:rPr>
                      <w:rFonts w:ascii="仿宋_GB2312" w:hAnsi="Arial" w:eastAsia="仿宋_GB2312" w:cs="Arial"/>
                      <w:color w:val="000000"/>
                      <w:kern w:val="0"/>
                      <w:sz w:val="15"/>
                      <w:szCs w:val="16"/>
                    </w:rPr>
                  </w:pPr>
                </w:p>
              </w:tc>
              <w:tc>
                <w:tcPr>
                  <w:tcW w:w="2270"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5"/>
                      <w:szCs w:val="16"/>
                    </w:rPr>
                  </w:pPr>
                </w:p>
              </w:tc>
              <w:tc>
                <w:tcPr>
                  <w:tcW w:w="236" w:type="dxa"/>
                  <w:tcBorders>
                    <w:top w:val="nil"/>
                    <w:left w:val="nil"/>
                    <w:bottom w:val="nil"/>
                    <w:right w:val="nil"/>
                  </w:tcBorders>
                  <w:vAlign w:val="bottom"/>
                </w:tcPr>
                <w:p>
                  <w:pPr>
                    <w:widowControl/>
                    <w:jc w:val="left"/>
                    <w:rPr>
                      <w:rFonts w:ascii="仿宋_GB2312" w:hAnsi="Arial" w:eastAsia="仿宋_GB2312" w:cs="Arial"/>
                      <w:color w:val="000000"/>
                      <w:kern w:val="0"/>
                      <w:sz w:val="15"/>
                      <w:szCs w:val="16"/>
                    </w:rPr>
                  </w:pPr>
                </w:p>
              </w:tc>
              <w:tc>
                <w:tcPr>
                  <w:tcW w:w="1416"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5"/>
                      <w:szCs w:val="16"/>
                    </w:rPr>
                  </w:pPr>
                </w:p>
              </w:tc>
              <w:tc>
                <w:tcPr>
                  <w:tcW w:w="1470" w:type="dxa"/>
                  <w:gridSpan w:val="2"/>
                  <w:tcBorders>
                    <w:top w:val="nil"/>
                    <w:left w:val="nil"/>
                    <w:bottom w:val="nil"/>
                    <w:right w:val="nil"/>
                  </w:tcBorders>
                  <w:vAlign w:val="bottom"/>
                </w:tcPr>
                <w:p>
                  <w:pPr>
                    <w:widowControl/>
                    <w:jc w:val="left"/>
                    <w:rPr>
                      <w:rFonts w:ascii="Arial" w:hAnsi="Arial" w:cs="Arial"/>
                      <w:color w:val="000000"/>
                      <w:kern w:val="0"/>
                      <w:sz w:val="15"/>
                      <w:szCs w:val="20"/>
                    </w:rPr>
                  </w:pPr>
                </w:p>
              </w:tc>
              <w:tc>
                <w:tcPr>
                  <w:tcW w:w="605" w:type="dxa"/>
                  <w:gridSpan w:val="2"/>
                  <w:tcBorders>
                    <w:top w:val="nil"/>
                    <w:left w:val="nil"/>
                    <w:bottom w:val="nil"/>
                    <w:right w:val="nil"/>
                  </w:tcBorders>
                  <w:vAlign w:val="bottom"/>
                </w:tcPr>
                <w:p>
                  <w:pPr>
                    <w:widowControl/>
                    <w:jc w:val="left"/>
                    <w:rPr>
                      <w:rFonts w:ascii="Arial" w:hAnsi="Arial" w:cs="Arial"/>
                      <w:color w:val="000000"/>
                      <w:kern w:val="0"/>
                      <w:sz w:val="15"/>
                      <w:szCs w:val="20"/>
                    </w:rPr>
                  </w:pPr>
                </w:p>
              </w:tc>
              <w:tc>
                <w:tcPr>
                  <w:tcW w:w="616" w:type="dxa"/>
                  <w:gridSpan w:val="2"/>
                  <w:tcBorders>
                    <w:top w:val="nil"/>
                    <w:left w:val="nil"/>
                    <w:bottom w:val="nil"/>
                    <w:right w:val="nil"/>
                  </w:tcBorders>
                  <w:vAlign w:val="bottom"/>
                </w:tcPr>
                <w:p>
                  <w:pPr>
                    <w:widowControl/>
                    <w:jc w:val="left"/>
                    <w:rPr>
                      <w:rFonts w:ascii="Arial" w:hAnsi="Arial" w:cs="Arial"/>
                      <w:color w:val="000000"/>
                      <w:kern w:val="0"/>
                      <w:sz w:val="15"/>
                      <w:szCs w:val="20"/>
                    </w:rPr>
                  </w:pPr>
                </w:p>
              </w:tc>
              <w:tc>
                <w:tcPr>
                  <w:tcW w:w="2443" w:type="dxa"/>
                  <w:gridSpan w:val="4"/>
                  <w:tcBorders>
                    <w:top w:val="nil"/>
                    <w:left w:val="nil"/>
                    <w:bottom w:val="nil"/>
                    <w:right w:val="nil"/>
                  </w:tcBorders>
                  <w:vAlign w:val="bottom"/>
                </w:tcPr>
                <w:p>
                  <w:pPr>
                    <w:widowControl/>
                    <w:ind w:right="300"/>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公开06表</w:t>
                  </w:r>
                </w:p>
              </w:tc>
            </w:tr>
            <w:tr>
              <w:tblPrEx>
                <w:tblCellMar>
                  <w:top w:w="0" w:type="dxa"/>
                  <w:left w:w="108" w:type="dxa"/>
                  <w:bottom w:w="0" w:type="dxa"/>
                  <w:right w:w="108" w:type="dxa"/>
                </w:tblCellMar>
              </w:tblPrEx>
              <w:trPr>
                <w:trHeight w:val="240" w:hRule="atLeast"/>
              </w:trPr>
              <w:tc>
                <w:tcPr>
                  <w:tcW w:w="2886" w:type="dxa"/>
                  <w:gridSpan w:val="4"/>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部门：</w:t>
                  </w:r>
                  <w:r>
                    <w:rPr>
                      <w:rFonts w:hint="eastAsia" w:ascii="仿宋_GB2312" w:hAnsi="Arial" w:eastAsia="仿宋_GB2312" w:cs="Arial"/>
                      <w:color w:val="000000"/>
                      <w:kern w:val="0"/>
                      <w:sz w:val="15"/>
                      <w:szCs w:val="16"/>
                      <w:lang w:eastAsia="zh-CN"/>
                    </w:rPr>
                    <w:t>贵德县新街</w:t>
                  </w:r>
                  <w:r>
                    <w:rPr>
                      <w:rFonts w:hint="eastAsia" w:ascii="仿宋_GB2312" w:hAnsi="Arial" w:eastAsia="仿宋_GB2312" w:cs="Arial"/>
                      <w:color w:val="000000"/>
                      <w:kern w:val="0"/>
                      <w:sz w:val="15"/>
                      <w:szCs w:val="16"/>
                    </w:rPr>
                    <w:t>乡政府</w:t>
                  </w:r>
                </w:p>
              </w:tc>
              <w:tc>
                <w:tcPr>
                  <w:tcW w:w="236" w:type="dxa"/>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5"/>
                      <w:szCs w:val="16"/>
                    </w:rPr>
                  </w:pPr>
                </w:p>
              </w:tc>
              <w:tc>
                <w:tcPr>
                  <w:tcW w:w="1416" w:type="dxa"/>
                  <w:gridSpan w:val="3"/>
                  <w:tcBorders>
                    <w:top w:val="nil"/>
                    <w:left w:val="nil"/>
                    <w:bottom w:val="single" w:color="auto" w:sz="4" w:space="0"/>
                    <w:right w:val="nil"/>
                  </w:tcBorders>
                  <w:vAlign w:val="bottom"/>
                </w:tcPr>
                <w:p>
                  <w:pPr>
                    <w:widowControl/>
                    <w:jc w:val="left"/>
                    <w:rPr>
                      <w:rFonts w:ascii="仿宋_GB2312" w:hAnsi="Arial" w:eastAsia="仿宋_GB2312" w:cs="Arial"/>
                      <w:color w:val="000000"/>
                      <w:kern w:val="0"/>
                      <w:sz w:val="15"/>
                      <w:szCs w:val="16"/>
                    </w:rPr>
                  </w:pPr>
                </w:p>
              </w:tc>
              <w:tc>
                <w:tcPr>
                  <w:tcW w:w="1470" w:type="dxa"/>
                  <w:gridSpan w:val="2"/>
                  <w:tcBorders>
                    <w:top w:val="nil"/>
                    <w:left w:val="nil"/>
                    <w:bottom w:val="single" w:color="auto" w:sz="4" w:space="0"/>
                    <w:right w:val="nil"/>
                  </w:tcBorders>
                  <w:vAlign w:val="bottom"/>
                </w:tcPr>
                <w:p>
                  <w:pPr>
                    <w:widowControl/>
                    <w:jc w:val="left"/>
                    <w:rPr>
                      <w:rFonts w:ascii="Arial" w:hAnsi="Arial" w:cs="Arial"/>
                      <w:color w:val="000000"/>
                      <w:kern w:val="0"/>
                      <w:sz w:val="15"/>
                      <w:szCs w:val="20"/>
                    </w:rPr>
                  </w:pPr>
                </w:p>
              </w:tc>
              <w:tc>
                <w:tcPr>
                  <w:tcW w:w="605" w:type="dxa"/>
                  <w:gridSpan w:val="2"/>
                  <w:tcBorders>
                    <w:top w:val="nil"/>
                    <w:left w:val="nil"/>
                    <w:bottom w:val="single" w:color="auto" w:sz="4" w:space="0"/>
                    <w:right w:val="nil"/>
                  </w:tcBorders>
                  <w:vAlign w:val="bottom"/>
                </w:tcPr>
                <w:p>
                  <w:pPr>
                    <w:widowControl/>
                    <w:jc w:val="left"/>
                    <w:rPr>
                      <w:rFonts w:ascii="Arial" w:hAnsi="Arial" w:cs="Arial"/>
                      <w:color w:val="000000"/>
                      <w:kern w:val="0"/>
                      <w:sz w:val="15"/>
                      <w:szCs w:val="20"/>
                    </w:rPr>
                  </w:pPr>
                </w:p>
              </w:tc>
              <w:tc>
                <w:tcPr>
                  <w:tcW w:w="616" w:type="dxa"/>
                  <w:gridSpan w:val="2"/>
                  <w:tcBorders>
                    <w:top w:val="nil"/>
                    <w:left w:val="nil"/>
                    <w:bottom w:val="single" w:color="auto" w:sz="4" w:space="0"/>
                    <w:right w:val="nil"/>
                  </w:tcBorders>
                  <w:vAlign w:val="bottom"/>
                </w:tcPr>
                <w:p>
                  <w:pPr>
                    <w:widowControl/>
                    <w:jc w:val="left"/>
                    <w:rPr>
                      <w:rFonts w:ascii="Arial" w:hAnsi="Arial" w:cs="Arial"/>
                      <w:color w:val="000000"/>
                      <w:kern w:val="0"/>
                      <w:sz w:val="15"/>
                      <w:szCs w:val="20"/>
                    </w:rPr>
                  </w:pPr>
                  <w:r>
                    <w:rPr>
                      <w:rFonts w:hint="eastAsia" w:ascii="Arial" w:hAnsi="Arial" w:cs="Arial"/>
                      <w:color w:val="000000"/>
                      <w:kern w:val="0"/>
                      <w:sz w:val="15"/>
                      <w:szCs w:val="20"/>
                    </w:rPr>
                    <w:t xml:space="preserve">     </w:t>
                  </w:r>
                </w:p>
              </w:tc>
              <w:tc>
                <w:tcPr>
                  <w:tcW w:w="2443" w:type="dxa"/>
                  <w:gridSpan w:val="4"/>
                  <w:tcBorders>
                    <w:top w:val="nil"/>
                    <w:left w:val="nil"/>
                    <w:bottom w:val="single" w:color="auto" w:sz="4" w:space="0"/>
                    <w:right w:val="nil"/>
                  </w:tcBorders>
                  <w:vAlign w:val="bottom"/>
                </w:tcPr>
                <w:p>
                  <w:pPr>
                    <w:widowControl/>
                    <w:ind w:right="300"/>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单位：万元</w:t>
                  </w:r>
                </w:p>
              </w:tc>
            </w:tr>
            <w:tr>
              <w:tblPrEx>
                <w:tblCellMar>
                  <w:top w:w="0" w:type="dxa"/>
                  <w:left w:w="108" w:type="dxa"/>
                  <w:bottom w:w="0" w:type="dxa"/>
                  <w:right w:w="108" w:type="dxa"/>
                </w:tblCellMar>
              </w:tblPrEx>
              <w:trPr>
                <w:gridAfter w:val="1"/>
                <w:wAfter w:w="409" w:type="dxa"/>
                <w:trHeight w:val="255" w:hRule="atLeast"/>
              </w:trPr>
              <w:tc>
                <w:tcPr>
                  <w:tcW w:w="3168"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人员经费</w:t>
                  </w:r>
                </w:p>
              </w:tc>
              <w:tc>
                <w:tcPr>
                  <w:tcW w:w="609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公用经费</w:t>
                  </w:r>
                </w:p>
              </w:tc>
            </w:tr>
            <w:tr>
              <w:tblPrEx>
                <w:tblCellMar>
                  <w:top w:w="0" w:type="dxa"/>
                  <w:left w:w="108" w:type="dxa"/>
                  <w:bottom w:w="0" w:type="dxa"/>
                  <w:right w:w="108" w:type="dxa"/>
                </w:tblCellMar>
              </w:tblPrEx>
              <w:trPr>
                <w:gridAfter w:val="1"/>
                <w:wAfter w:w="409" w:type="dxa"/>
                <w:trHeight w:val="990" w:hRule="atLeast"/>
              </w:trPr>
              <w:tc>
                <w:tcPr>
                  <w:tcW w:w="7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经济分类科目编码</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科目名称</w:t>
                  </w:r>
                </w:p>
              </w:tc>
              <w:tc>
                <w:tcPr>
                  <w:tcW w:w="85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金额</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经济分类科目编码</w:t>
                  </w:r>
                </w:p>
              </w:tc>
              <w:tc>
                <w:tcPr>
                  <w:tcW w:w="184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科目名称</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金额</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经济分类科目编码</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科目名称</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金额</w:t>
                  </w: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301</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工资福利支出</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266.75</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302</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商品和服务支出</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127.61</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310</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其他资本性支出</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2.00</w:t>
                  </w: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30101</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基本工资</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76.48</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30201</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办公费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31001</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房屋建筑物购建</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30102</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津贴补贴</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132.26</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30202</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印刷费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29.22</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31002</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办公设备购置</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30103</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奖金</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30203</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咨询费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31003</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专用设备购置</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30104</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其他社会保障缴费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0.37</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30204</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手续费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0.04</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31004</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基础设施建设</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30106</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伙食补助费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30205</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水费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31005</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大型修缮</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30107</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绩效工资</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1.22</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30206</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电费</w:t>
                  </w:r>
                </w:p>
              </w:tc>
              <w:tc>
                <w:tcPr>
                  <w:tcW w:w="709" w:type="dxa"/>
                  <w:gridSpan w:val="2"/>
                  <w:tcBorders>
                    <w:top w:val="single" w:color="auto" w:sz="4" w:space="0"/>
                    <w:left w:val="nil"/>
                    <w:bottom w:val="single" w:color="auto" w:sz="4" w:space="0"/>
                    <w:right w:val="single" w:color="auto" w:sz="4" w:space="0"/>
                  </w:tcBorders>
                  <w:vAlign w:val="bottom"/>
                </w:tcPr>
                <w:p>
                  <w:pPr>
                    <w:widowControl/>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9.93</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31006</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信息网络及软件购置更新</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30108</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机关事业单位基本养老保险缴费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37.20</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30207</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邮电费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1.64</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31007</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物资储备</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30109</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职业年金缴费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9.30</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30208</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取暖费</w:t>
                  </w:r>
                </w:p>
              </w:tc>
              <w:tc>
                <w:tcPr>
                  <w:tcW w:w="709" w:type="dxa"/>
                  <w:gridSpan w:val="2"/>
                  <w:tcBorders>
                    <w:top w:val="single" w:color="auto" w:sz="4" w:space="0"/>
                    <w:left w:val="nil"/>
                    <w:bottom w:val="single" w:color="auto" w:sz="4" w:space="0"/>
                    <w:right w:val="single" w:color="auto" w:sz="4" w:space="0"/>
                  </w:tcBorders>
                  <w:vAlign w:val="bottom"/>
                </w:tcPr>
                <w:p>
                  <w:pPr>
                    <w:widowControl/>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11.24</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31008</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土地补偿</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30199</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其他工资福利支出</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9.93</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30209</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物业管理费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31009</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安置补助</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303</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对个人和家庭的补助</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81.95</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30211</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差旅费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2.06</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31010</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地上附着物和青苗补偿</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30301</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离休费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30212</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因公出国（境）费用</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31011</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拆迁补偿</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30302</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退休费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30213</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维修(护)费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3.76</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31012</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公务用车购置</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30303</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退职（役）费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30214</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租赁费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31013</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其他交通工具购置</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30304</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抚恤金</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30215</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会议费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2.58</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31014</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产权参股</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30305</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生活补助</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1.43</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30216</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培训费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2.67</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31099</w:t>
                  </w:r>
                </w:p>
              </w:tc>
              <w:tc>
                <w:tcPr>
                  <w:tcW w:w="1417"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其他资本性支出</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r>
                    <w:rPr>
                      <w:rFonts w:hint="eastAsia" w:ascii="Arial" w:hAnsi="Arial" w:cs="Arial"/>
                      <w:color w:val="000000"/>
                      <w:kern w:val="0"/>
                      <w:sz w:val="15"/>
                      <w:szCs w:val="20"/>
                    </w:rPr>
                    <w:t>2.00</w:t>
                  </w: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30306</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救济费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30217</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公务接待费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2.7</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304</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对企事业单位的补贴</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30307</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医疗费</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30218</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专用材料费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30401</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企业政策性补贴</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30308</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助学金</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30224</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被装购置费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30402</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事业单位补贴</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30309</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奖励金</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58.10</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30225</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专用燃料费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30403</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财政贴息</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30310</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生产补贴</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30226</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劳务费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7.23</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30404</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其他对企事业单位的补贴</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30311</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住房公积金</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22.42</w:t>
                  </w: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30227</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委托业务费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307</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债务利息支出</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30312</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提租补贴</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30228</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工会经费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30701</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国内债务付息</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30313</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购房补贴</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30229</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福利费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30707</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国外债务付息</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30314</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采暖补贴</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30231</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公务用车运行维护费</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5.1</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399</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b/>
                      <w:bCs/>
                      <w:color w:val="000000"/>
                      <w:kern w:val="0"/>
                      <w:sz w:val="15"/>
                      <w:szCs w:val="16"/>
                    </w:rPr>
                  </w:pPr>
                  <w:r>
                    <w:rPr>
                      <w:rFonts w:hint="eastAsia" w:ascii="仿宋_GB2312" w:hAnsi="Arial" w:eastAsia="仿宋_GB2312" w:cs="Arial"/>
                      <w:b/>
                      <w:bCs/>
                      <w:color w:val="000000"/>
                      <w:kern w:val="0"/>
                      <w:sz w:val="15"/>
                      <w:szCs w:val="16"/>
                    </w:rPr>
                    <w:t>其他支出</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30315</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物业服务补贴</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30239</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其他交通费用</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39906</w:t>
                  </w: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赠与</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30399</w:t>
                  </w: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其他对个人和家庭的补助支出</w:t>
                  </w: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30240</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税金及附加费用</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1417" w:type="dxa"/>
                  <w:gridSpan w:val="2"/>
                  <w:tcBorders>
                    <w:top w:val="single" w:color="auto" w:sz="4" w:space="0"/>
                    <w:left w:val="nil"/>
                    <w:bottom w:val="single" w:color="auto" w:sz="4" w:space="0"/>
                    <w:right w:val="nil"/>
                  </w:tcBorders>
                  <w:vAlign w:val="bottom"/>
                </w:tcPr>
                <w:p>
                  <w:pPr>
                    <w:widowControl/>
                    <w:jc w:val="center"/>
                    <w:rPr>
                      <w:rFonts w:ascii="仿宋_GB2312" w:hAnsi="Arial" w:eastAsia="仿宋_GB2312" w:cs="Arial"/>
                      <w:color w:val="000000"/>
                      <w:kern w:val="0"/>
                      <w:sz w:val="15"/>
                      <w:szCs w:val="16"/>
                    </w:rPr>
                  </w:pP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40" w:hRule="atLeast"/>
              </w:trPr>
              <w:tc>
                <w:tcPr>
                  <w:tcW w:w="758"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c>
                <w:tcPr>
                  <w:tcW w:w="1559" w:type="dxa"/>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c>
                <w:tcPr>
                  <w:tcW w:w="851" w:type="dxa"/>
                  <w:gridSpan w:val="3"/>
                  <w:tcBorders>
                    <w:top w:val="single" w:color="auto" w:sz="4" w:space="0"/>
                    <w:left w:val="nil"/>
                    <w:bottom w:val="single" w:color="auto" w:sz="4" w:space="0"/>
                    <w:right w:val="single" w:color="auto" w:sz="4" w:space="0"/>
                  </w:tcBorders>
                  <w:vAlign w:val="bottom"/>
                </w:tcPr>
                <w:p>
                  <w:pPr>
                    <w:widowControl/>
                    <w:jc w:val="center"/>
                    <w:rPr>
                      <w:rFonts w:ascii="Arial" w:hAnsi="Arial" w:cs="Arial"/>
                      <w:color w:val="000000"/>
                      <w:kern w:val="0"/>
                      <w:sz w:val="15"/>
                      <w:szCs w:val="20"/>
                    </w:rPr>
                  </w:pPr>
                </w:p>
              </w:tc>
              <w:tc>
                <w:tcPr>
                  <w:tcW w:w="708" w:type="dxa"/>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30299</w:t>
                  </w:r>
                </w:p>
              </w:tc>
              <w:tc>
                <w:tcPr>
                  <w:tcW w:w="1843"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其他商品和服务支出</w:t>
                  </w:r>
                </w:p>
              </w:tc>
              <w:tc>
                <w:tcPr>
                  <w:tcW w:w="709" w:type="dxa"/>
                  <w:gridSpan w:val="2"/>
                  <w:tcBorders>
                    <w:top w:val="single" w:color="auto" w:sz="4" w:space="0"/>
                    <w:left w:val="nil"/>
                    <w:bottom w:val="single" w:color="auto" w:sz="4" w:space="0"/>
                    <w:right w:val="single" w:color="auto" w:sz="4" w:space="0"/>
                  </w:tcBorders>
                  <w:vAlign w:val="bottom"/>
                </w:tcPr>
                <w:p>
                  <w:pPr>
                    <w:widowControl/>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18.45</w:t>
                  </w:r>
                </w:p>
              </w:tc>
              <w:tc>
                <w:tcPr>
                  <w:tcW w:w="709"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p>
              </w:tc>
              <w:tc>
                <w:tcPr>
                  <w:tcW w:w="1417" w:type="dxa"/>
                  <w:gridSpan w:val="2"/>
                  <w:tcBorders>
                    <w:top w:val="single" w:color="auto" w:sz="4" w:space="0"/>
                    <w:left w:val="nil"/>
                    <w:bottom w:val="single" w:color="auto" w:sz="4" w:space="0"/>
                    <w:right w:val="nil"/>
                  </w:tcBorders>
                  <w:vAlign w:val="bottom"/>
                </w:tcPr>
                <w:p>
                  <w:pPr>
                    <w:widowControl/>
                    <w:jc w:val="center"/>
                    <w:rPr>
                      <w:rFonts w:ascii="Arial" w:hAnsi="Arial" w:cs="Arial"/>
                      <w:color w:val="000000"/>
                      <w:kern w:val="0"/>
                      <w:sz w:val="15"/>
                      <w:szCs w:val="20"/>
                    </w:rPr>
                  </w:pP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p>
              </w:tc>
            </w:tr>
            <w:tr>
              <w:tblPrEx>
                <w:tblCellMar>
                  <w:top w:w="0" w:type="dxa"/>
                  <w:left w:w="108" w:type="dxa"/>
                  <w:bottom w:w="0" w:type="dxa"/>
                  <w:right w:w="108" w:type="dxa"/>
                </w:tblCellMar>
              </w:tblPrEx>
              <w:trPr>
                <w:gridAfter w:val="1"/>
                <w:wAfter w:w="409" w:type="dxa"/>
                <w:trHeight w:val="285" w:hRule="atLeast"/>
              </w:trPr>
              <w:tc>
                <w:tcPr>
                  <w:tcW w:w="2317"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人员经费合计</w:t>
                  </w:r>
                </w:p>
              </w:tc>
              <w:tc>
                <w:tcPr>
                  <w:tcW w:w="851"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r>
                    <w:rPr>
                      <w:rFonts w:hint="eastAsia" w:ascii="Arial" w:hAnsi="Arial" w:cs="Arial"/>
                      <w:color w:val="000000"/>
                      <w:kern w:val="0"/>
                      <w:sz w:val="15"/>
                      <w:szCs w:val="20"/>
                    </w:rPr>
                    <w:t>348.70</w:t>
                  </w:r>
                </w:p>
              </w:tc>
              <w:tc>
                <w:tcPr>
                  <w:tcW w:w="5386" w:type="dxa"/>
                  <w:gridSpan w:val="9"/>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5"/>
                      <w:szCs w:val="16"/>
                    </w:rPr>
                  </w:pPr>
                  <w:r>
                    <w:rPr>
                      <w:rFonts w:hint="eastAsia" w:ascii="仿宋_GB2312" w:hAnsi="Arial" w:eastAsia="仿宋_GB2312" w:cs="Arial"/>
                      <w:color w:val="000000"/>
                      <w:kern w:val="0"/>
                      <w:sz w:val="15"/>
                      <w:szCs w:val="16"/>
                    </w:rPr>
                    <w:t>公用经费合计</w:t>
                  </w:r>
                </w:p>
              </w:tc>
              <w:tc>
                <w:tcPr>
                  <w:tcW w:w="70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color w:val="000000"/>
                      <w:kern w:val="0"/>
                      <w:sz w:val="15"/>
                      <w:szCs w:val="20"/>
                    </w:rPr>
                  </w:pPr>
                  <w:r>
                    <w:rPr>
                      <w:rFonts w:hint="eastAsia" w:ascii="Arial" w:hAnsi="Arial" w:cs="Arial"/>
                      <w:color w:val="000000"/>
                      <w:kern w:val="0"/>
                      <w:sz w:val="15"/>
                      <w:szCs w:val="20"/>
                    </w:rPr>
                    <w:t>129.61</w:t>
                  </w:r>
                </w:p>
              </w:tc>
            </w:tr>
          </w:tbl>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CellMar>
            <w:top w:w="0" w:type="dxa"/>
            <w:left w:w="108" w:type="dxa"/>
            <w:bottom w:w="0" w:type="dxa"/>
            <w:right w:w="108" w:type="dxa"/>
          </w:tblCellMar>
        </w:tblPrEx>
        <w:trPr>
          <w:gridAfter w:val="2"/>
          <w:wAfter w:w="667" w:type="dxa"/>
          <w:trHeight w:val="285" w:hRule="atLeast"/>
        </w:trPr>
        <w:tc>
          <w:tcPr>
            <w:tcW w:w="2321" w:type="dxa"/>
            <w:gridSpan w:val="1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55"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36"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39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68"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07"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34" w:type="dxa"/>
            <w:gridSpan w:val="5"/>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3"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39"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7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091" w:type="dxa"/>
            <w:gridSpan w:val="10"/>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CellMar>
            <w:top w:w="0" w:type="dxa"/>
            <w:left w:w="108" w:type="dxa"/>
            <w:bottom w:w="0" w:type="dxa"/>
            <w:right w:w="108" w:type="dxa"/>
          </w:tblCellMar>
        </w:tblPrEx>
        <w:trPr>
          <w:gridAfter w:val="3"/>
          <w:wAfter w:w="698" w:type="dxa"/>
          <w:trHeight w:val="255" w:hRule="atLeast"/>
        </w:trPr>
        <w:tc>
          <w:tcPr>
            <w:tcW w:w="3481" w:type="dxa"/>
            <w:gridSpan w:val="18"/>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w:t>
            </w:r>
            <w:r>
              <w:rPr>
                <w:rFonts w:hint="eastAsia" w:ascii="仿宋_GB2312" w:hAnsi="Arial" w:eastAsia="仿宋_GB2312" w:cs="Arial"/>
                <w:color w:val="000000"/>
                <w:kern w:val="0"/>
                <w:sz w:val="16"/>
                <w:szCs w:val="16"/>
                <w:lang w:eastAsia="zh-CN"/>
              </w:rPr>
              <w:t>贵德县新街</w:t>
            </w:r>
            <w:r>
              <w:rPr>
                <w:rFonts w:hint="eastAsia" w:ascii="仿宋_GB2312" w:hAnsi="Arial" w:eastAsia="仿宋_GB2312" w:cs="Arial"/>
                <w:color w:val="000000"/>
                <w:kern w:val="0"/>
                <w:sz w:val="16"/>
                <w:szCs w:val="16"/>
              </w:rPr>
              <w:t>回族乡人民政府</w:t>
            </w:r>
          </w:p>
        </w:tc>
        <w:tc>
          <w:tcPr>
            <w:tcW w:w="39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68"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538"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803"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663"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39"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2661" w:type="dxa"/>
            <w:gridSpan w:val="14"/>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1"/>
          <w:wAfter w:w="303" w:type="dxa"/>
          <w:trHeight w:val="255" w:hRule="atLeast"/>
        </w:trPr>
        <w:tc>
          <w:tcPr>
            <w:tcW w:w="4977" w:type="dxa"/>
            <w:gridSpan w:val="28"/>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2016年度预算数</w:t>
            </w:r>
          </w:p>
        </w:tc>
        <w:tc>
          <w:tcPr>
            <w:tcW w:w="4961" w:type="dxa"/>
            <w:gridSpan w:val="28"/>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2016年度决算数</w:t>
            </w:r>
          </w:p>
        </w:tc>
      </w:tr>
      <w:tr>
        <w:tblPrEx>
          <w:tblCellMar>
            <w:top w:w="0" w:type="dxa"/>
            <w:left w:w="108" w:type="dxa"/>
            <w:bottom w:w="0" w:type="dxa"/>
            <w:right w:w="108" w:type="dxa"/>
          </w:tblCellMar>
        </w:tblPrEx>
        <w:trPr>
          <w:gridAfter w:val="1"/>
          <w:wAfter w:w="303" w:type="dxa"/>
          <w:trHeight w:val="480" w:hRule="atLeast"/>
        </w:trPr>
        <w:tc>
          <w:tcPr>
            <w:tcW w:w="582"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93" w:type="dxa"/>
            <w:gridSpan w:val="5"/>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15"/>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gridSpan w:val="5"/>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068" w:type="dxa"/>
            <w:gridSpan w:val="8"/>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17" w:type="dxa"/>
            <w:gridSpan w:val="14"/>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gridSpan w:val="4"/>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CellMar>
            <w:top w:w="0" w:type="dxa"/>
            <w:left w:w="108" w:type="dxa"/>
            <w:bottom w:w="0" w:type="dxa"/>
            <w:right w:w="108" w:type="dxa"/>
          </w:tblCellMar>
        </w:tblPrEx>
        <w:trPr>
          <w:gridAfter w:val="1"/>
          <w:wAfter w:w="303" w:type="dxa"/>
          <w:trHeight w:val="810" w:hRule="atLeast"/>
        </w:trPr>
        <w:tc>
          <w:tcPr>
            <w:tcW w:w="582" w:type="dxa"/>
            <w:gridSpan w:val="3"/>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993" w:type="dxa"/>
            <w:gridSpan w:val="5"/>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708" w:type="dxa"/>
            <w:gridSpan w:val="3"/>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3"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gridSpan w:val="5"/>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1068" w:type="dxa"/>
            <w:gridSpan w:val="8"/>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633" w:type="dxa"/>
            <w:gridSpan w:val="6"/>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5"/>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gridSpan w:val="3"/>
            <w:tcBorders>
              <w:top w:val="nil"/>
              <w:left w:val="nil"/>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gridSpan w:val="4"/>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gridAfter w:val="1"/>
          <w:wAfter w:w="303" w:type="dxa"/>
          <w:trHeight w:val="255" w:hRule="atLeast"/>
        </w:trPr>
        <w:tc>
          <w:tcPr>
            <w:tcW w:w="582" w:type="dxa"/>
            <w:gridSpan w:val="3"/>
            <w:tcBorders>
              <w:top w:val="nil"/>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93"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708"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93"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92"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8" w:type="dxa"/>
            <w:gridSpan w:val="8"/>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530"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95"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CellMar>
            <w:top w:w="0" w:type="dxa"/>
            <w:left w:w="108" w:type="dxa"/>
            <w:bottom w:w="0" w:type="dxa"/>
            <w:right w:w="108" w:type="dxa"/>
          </w:tblCellMar>
        </w:tblPrEx>
        <w:trPr>
          <w:gridAfter w:val="1"/>
          <w:wAfter w:w="303" w:type="dxa"/>
          <w:trHeight w:val="255" w:hRule="atLeast"/>
        </w:trPr>
        <w:tc>
          <w:tcPr>
            <w:tcW w:w="582" w:type="dxa"/>
            <w:gridSpan w:val="3"/>
            <w:tcBorders>
              <w:top w:val="nil"/>
              <w:left w:val="single" w:color="auto" w:sz="4" w:space="0"/>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9.55</w:t>
            </w:r>
          </w:p>
        </w:tc>
        <w:tc>
          <w:tcPr>
            <w:tcW w:w="993" w:type="dxa"/>
            <w:gridSpan w:val="5"/>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w:t>
            </w:r>
          </w:p>
        </w:tc>
        <w:tc>
          <w:tcPr>
            <w:tcW w:w="708" w:type="dxa"/>
            <w:gridSpan w:val="3"/>
            <w:tcBorders>
              <w:top w:val="nil"/>
              <w:left w:val="nil"/>
              <w:bottom w:val="nil"/>
              <w:right w:val="single" w:color="auto" w:sz="4" w:space="0"/>
            </w:tcBorders>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5.67</w:t>
            </w:r>
          </w:p>
        </w:tc>
        <w:tc>
          <w:tcPr>
            <w:tcW w:w="993" w:type="dxa"/>
            <w:gridSpan w:val="5"/>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w:t>
            </w:r>
          </w:p>
        </w:tc>
        <w:tc>
          <w:tcPr>
            <w:tcW w:w="992" w:type="dxa"/>
            <w:gridSpan w:val="7"/>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5.68</w:t>
            </w:r>
          </w:p>
        </w:tc>
        <w:tc>
          <w:tcPr>
            <w:tcW w:w="709" w:type="dxa"/>
            <w:gridSpan w:val="5"/>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3.88</w:t>
            </w:r>
          </w:p>
        </w:tc>
        <w:tc>
          <w:tcPr>
            <w:tcW w:w="567" w:type="dxa"/>
            <w:gridSpan w:val="2"/>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1068" w:type="dxa"/>
            <w:gridSpan w:val="8"/>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w:t>
            </w:r>
          </w:p>
        </w:tc>
        <w:tc>
          <w:tcPr>
            <w:tcW w:w="530" w:type="dxa"/>
            <w:gridSpan w:val="5"/>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095" w:type="dxa"/>
            <w:gridSpan w:val="6"/>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0.00</w:t>
            </w:r>
          </w:p>
        </w:tc>
        <w:tc>
          <w:tcPr>
            <w:tcW w:w="992" w:type="dxa"/>
            <w:gridSpan w:val="3"/>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709" w:type="dxa"/>
            <w:gridSpan w:val="4"/>
            <w:tcBorders>
              <w:top w:val="nil"/>
              <w:left w:val="nil"/>
              <w:bottom w:val="nil"/>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r>
      <w:tr>
        <w:tblPrEx>
          <w:tblCellMar>
            <w:top w:w="0" w:type="dxa"/>
            <w:left w:w="108" w:type="dxa"/>
            <w:bottom w:w="0" w:type="dxa"/>
            <w:right w:w="108" w:type="dxa"/>
          </w:tblCellMar>
        </w:tblPrEx>
        <w:trPr>
          <w:gridAfter w:val="1"/>
          <w:wAfter w:w="303" w:type="dxa"/>
          <w:trHeight w:val="255" w:hRule="atLeast"/>
        </w:trPr>
        <w:tc>
          <w:tcPr>
            <w:tcW w:w="582" w:type="dxa"/>
            <w:gridSpan w:val="3"/>
            <w:tcBorders>
              <w:top w:val="nil"/>
              <w:left w:val="single" w:color="auto" w:sz="4" w:space="0"/>
              <w:bottom w:val="single" w:color="auto" w:sz="4" w:space="0"/>
              <w:right w:val="single" w:color="auto" w:sz="4" w:space="0"/>
            </w:tcBorders>
            <w:vAlign w:val="bottom"/>
          </w:tcPr>
          <w:p>
            <w:pPr>
              <w:widowControl/>
              <w:rPr>
                <w:rFonts w:ascii="仿宋_GB2312" w:hAnsi="Arial" w:eastAsia="仿宋_GB2312" w:cs="Arial"/>
                <w:color w:val="000000"/>
                <w:kern w:val="0"/>
                <w:sz w:val="16"/>
                <w:szCs w:val="16"/>
              </w:rPr>
            </w:pPr>
          </w:p>
        </w:tc>
        <w:tc>
          <w:tcPr>
            <w:tcW w:w="993"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708"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993"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992"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709"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567"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1068" w:type="dxa"/>
            <w:gridSpan w:val="8"/>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530"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1095"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992" w:type="dxa"/>
            <w:gridSpan w:val="3"/>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c>
          <w:tcPr>
            <w:tcW w:w="709" w:type="dxa"/>
            <w:gridSpan w:val="4"/>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trHeight w:val="405" w:hRule="atLeast"/>
        </w:trPr>
        <w:tc>
          <w:tcPr>
            <w:tcW w:w="34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40"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400"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320" w:type="dxa"/>
            <w:gridSpan w:val="11"/>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140" w:type="dxa"/>
            <w:gridSpan w:val="9"/>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140"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140"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140"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140"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141"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gridAfter w:val="7"/>
          <w:wAfter w:w="1181" w:type="dxa"/>
          <w:trHeight w:val="300" w:hRule="atLeast"/>
        </w:trPr>
        <w:tc>
          <w:tcPr>
            <w:tcW w:w="9060" w:type="dxa"/>
            <w:gridSpan w:val="50"/>
            <w:tcBorders>
              <w:top w:val="nil"/>
              <w:left w:val="nil"/>
              <w:bottom w:val="nil"/>
              <w:right w:val="nil"/>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CellMar>
            <w:top w:w="0" w:type="dxa"/>
            <w:left w:w="108" w:type="dxa"/>
            <w:bottom w:w="0" w:type="dxa"/>
            <w:right w:w="108" w:type="dxa"/>
          </w:tblCellMar>
        </w:tblPrEx>
        <w:trPr>
          <w:gridAfter w:val="7"/>
          <w:wAfter w:w="1181" w:type="dxa"/>
          <w:trHeight w:val="255" w:hRule="atLeast"/>
        </w:trPr>
        <w:tc>
          <w:tcPr>
            <w:tcW w:w="440" w:type="dxa"/>
            <w:gridSpan w:val="2"/>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460" w:type="dxa"/>
            <w:gridSpan w:val="3"/>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720" w:type="dxa"/>
            <w:gridSpan w:val="4"/>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600" w:type="dxa"/>
            <w:gridSpan w:val="6"/>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gridSpan w:val="7"/>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gridSpan w:val="7"/>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gridSpan w:val="5"/>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gridSpan w:val="8"/>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gridSpan w:val="6"/>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gridSpan w:val="2"/>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CellMar>
            <w:top w:w="0" w:type="dxa"/>
            <w:left w:w="108" w:type="dxa"/>
            <w:bottom w:w="0" w:type="dxa"/>
            <w:right w:w="108" w:type="dxa"/>
          </w:tblCellMar>
        </w:tblPrEx>
        <w:trPr>
          <w:gridAfter w:val="7"/>
          <w:wAfter w:w="1181" w:type="dxa"/>
          <w:trHeight w:val="255" w:hRule="atLeast"/>
        </w:trPr>
        <w:tc>
          <w:tcPr>
            <w:tcW w:w="3220" w:type="dxa"/>
            <w:gridSpan w:val="15"/>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部门：贵德县</w:t>
            </w:r>
            <w:r>
              <w:rPr>
                <w:rFonts w:hint="eastAsia" w:ascii="仿宋_GB2312" w:hAnsi="Arial" w:eastAsia="仿宋_GB2312" w:cs="Arial"/>
                <w:color w:val="000000"/>
                <w:kern w:val="0"/>
                <w:sz w:val="16"/>
                <w:szCs w:val="16"/>
                <w:lang w:eastAsia="zh-CN"/>
              </w:rPr>
              <w:t>贵德县新街</w:t>
            </w:r>
            <w:r>
              <w:rPr>
                <w:rFonts w:hint="eastAsia" w:ascii="仿宋_GB2312" w:hAnsi="Arial" w:eastAsia="仿宋_GB2312" w:cs="Arial"/>
                <w:color w:val="000000"/>
                <w:kern w:val="0"/>
                <w:sz w:val="16"/>
                <w:szCs w:val="16"/>
              </w:rPr>
              <w:t>回族乡人民政府</w:t>
            </w:r>
          </w:p>
        </w:tc>
        <w:tc>
          <w:tcPr>
            <w:tcW w:w="960" w:type="dxa"/>
            <w:gridSpan w:val="7"/>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gridSpan w:val="7"/>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gridSpan w:val="5"/>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60" w:type="dxa"/>
            <w:gridSpan w:val="8"/>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940" w:type="dxa"/>
            <w:gridSpan w:val="6"/>
            <w:tcBorders>
              <w:top w:val="nil"/>
              <w:left w:val="nil"/>
              <w:bottom w:val="nil"/>
              <w:right w:val="nil"/>
            </w:tcBorders>
            <w:vAlign w:val="bottom"/>
          </w:tcPr>
          <w:p>
            <w:pPr>
              <w:widowControl/>
              <w:jc w:val="left"/>
              <w:rPr>
                <w:rFonts w:ascii="仿宋_GB2312" w:hAnsi="Arial" w:eastAsia="仿宋_GB2312" w:cs="Arial"/>
                <w:color w:val="000000"/>
                <w:kern w:val="0"/>
                <w:sz w:val="16"/>
                <w:szCs w:val="16"/>
              </w:rPr>
            </w:pPr>
          </w:p>
        </w:tc>
        <w:tc>
          <w:tcPr>
            <w:tcW w:w="1060" w:type="dxa"/>
            <w:gridSpan w:val="2"/>
            <w:tcBorders>
              <w:top w:val="nil"/>
              <w:left w:val="nil"/>
              <w:bottom w:val="nil"/>
              <w:right w:val="nil"/>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CellMar>
            <w:top w:w="0" w:type="dxa"/>
            <w:left w:w="108" w:type="dxa"/>
            <w:bottom w:w="0" w:type="dxa"/>
            <w:right w:w="108" w:type="dxa"/>
          </w:tblCellMar>
        </w:tblPrEx>
        <w:trPr>
          <w:gridAfter w:val="7"/>
          <w:wAfter w:w="1181" w:type="dxa"/>
          <w:trHeight w:val="255" w:hRule="atLeast"/>
        </w:trPr>
        <w:tc>
          <w:tcPr>
            <w:tcW w:w="3220" w:type="dxa"/>
            <w:gridSpan w:val="15"/>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gridSpan w:val="7"/>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gridSpan w:val="7"/>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19"/>
            <w:tcBorders>
              <w:top w:val="single" w:color="auto" w:sz="4" w:space="0"/>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gridSpan w:val="2"/>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CellMar>
            <w:top w:w="0" w:type="dxa"/>
            <w:left w:w="108" w:type="dxa"/>
            <w:bottom w:w="0" w:type="dxa"/>
            <w:right w:w="108" w:type="dxa"/>
          </w:tblCellMar>
        </w:tblPrEx>
        <w:trPr>
          <w:gridAfter w:val="7"/>
          <w:wAfter w:w="1181" w:type="dxa"/>
          <w:trHeight w:val="255" w:hRule="atLeast"/>
        </w:trPr>
        <w:tc>
          <w:tcPr>
            <w:tcW w:w="1620" w:type="dxa"/>
            <w:gridSpan w:val="9"/>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gridSpan w:val="6"/>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gridSpan w:val="7"/>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gridSpan w:val="8"/>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CellMar>
            <w:top w:w="0" w:type="dxa"/>
            <w:left w:w="108" w:type="dxa"/>
            <w:bottom w:w="0" w:type="dxa"/>
            <w:right w:w="108" w:type="dxa"/>
          </w:tblCellMar>
        </w:tblPrEx>
        <w:trPr>
          <w:gridAfter w:val="7"/>
          <w:wAfter w:w="1181" w:type="dxa"/>
          <w:trHeight w:val="255" w:hRule="atLeast"/>
        </w:trPr>
        <w:tc>
          <w:tcPr>
            <w:tcW w:w="44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gridSpan w:val="6"/>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gridSpan w:val="7"/>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gridSpan w:val="5"/>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gridSpan w:val="8"/>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gridSpan w:val="6"/>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gridSpan w:val="2"/>
            <w:tcBorders>
              <w:top w:val="nil"/>
              <w:left w:val="nil"/>
              <w:bottom w:val="single" w:color="auto" w:sz="4" w:space="0"/>
              <w:right w:val="single" w:color="auto" w:sz="4" w:space="0"/>
            </w:tcBorders>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CellMar>
            <w:top w:w="0" w:type="dxa"/>
            <w:left w:w="108" w:type="dxa"/>
            <w:bottom w:w="0" w:type="dxa"/>
            <w:right w:w="108" w:type="dxa"/>
          </w:tblCellMar>
        </w:tblPrEx>
        <w:trPr>
          <w:gridAfter w:val="7"/>
          <w:wAfter w:w="1181" w:type="dxa"/>
          <w:trHeight w:val="255" w:hRule="atLeast"/>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gridSpan w:val="6"/>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gridSpan w:val="5"/>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gridSpan w:val="8"/>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gridSpan w:val="6"/>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CellMar>
            <w:top w:w="0" w:type="dxa"/>
            <w:left w:w="108" w:type="dxa"/>
            <w:bottom w:w="0" w:type="dxa"/>
            <w:right w:w="108" w:type="dxa"/>
          </w:tblCellMar>
        </w:tblPrEx>
        <w:trPr>
          <w:gridAfter w:val="7"/>
          <w:wAfter w:w="1181" w:type="dxa"/>
          <w:trHeight w:val="255" w:hRule="atLeast"/>
        </w:trPr>
        <w:tc>
          <w:tcPr>
            <w:tcW w:w="1620" w:type="dxa"/>
            <w:gridSpan w:val="9"/>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gridSpan w:val="6"/>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gridSpan w:val="7"/>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gridSpan w:val="7"/>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gridSpan w:val="5"/>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gridSpan w:val="8"/>
            <w:tcBorders>
              <w:top w:val="nil"/>
              <w:left w:val="nil"/>
              <w:bottom w:val="single" w:color="auto" w:sz="4" w:space="0"/>
              <w:right w:val="single" w:color="auto" w:sz="4" w:space="0"/>
            </w:tcBorders>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gridSpan w:val="6"/>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gridSpan w:val="2"/>
            <w:tcBorders>
              <w:top w:val="nil"/>
              <w:left w:val="nil"/>
              <w:bottom w:val="single" w:color="auto" w:sz="4" w:space="0"/>
              <w:right w:val="single" w:color="auto" w:sz="4" w:space="0"/>
            </w:tcBorders>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回族乡人民政府2016年度预算情况说明</w:t>
      </w:r>
    </w:p>
    <w:p>
      <w:pPr>
        <w:rPr>
          <w:rFonts w:ascii="仿宋_GB2312" w:eastAsia="仿宋_GB2312"/>
          <w:sz w:val="32"/>
          <w:szCs w:val="32"/>
        </w:rPr>
      </w:pPr>
    </w:p>
    <w:p>
      <w:pPr>
        <w:ind w:firstLine="642" w:firstLineChars="200"/>
        <w:rPr>
          <w:rFonts w:ascii="仿宋_GB2312" w:eastAsia="仿宋_GB2312"/>
          <w:b/>
          <w:sz w:val="32"/>
          <w:szCs w:val="32"/>
        </w:rPr>
      </w:pPr>
      <w:r>
        <w:rPr>
          <w:rFonts w:hint="eastAsia" w:ascii="仿宋_GB2312" w:eastAsia="仿宋_GB2312"/>
          <w:b/>
          <w:sz w:val="32"/>
          <w:szCs w:val="32"/>
        </w:rPr>
        <w:t>一、关于</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回族乡人民政府2016年度部门决算收支总体情况说明</w:t>
      </w:r>
    </w:p>
    <w:p>
      <w:pPr>
        <w:ind w:firstLine="645"/>
        <w:rPr>
          <w:rFonts w:ascii="仿宋_GB2312" w:eastAsia="仿宋_GB2312"/>
          <w:sz w:val="32"/>
          <w:szCs w:val="32"/>
        </w:rPr>
      </w:pP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hint="eastAsia" w:ascii="仿宋_GB2312" w:eastAsia="仿宋_GB2312"/>
          <w:sz w:val="32"/>
          <w:szCs w:val="32"/>
        </w:rPr>
        <w:t>2016年度收支总决算1499.43，比2015年收支总决算增1156.22万元。主要原因是根据财政要求将其他应付款调入其他收入。</w:t>
      </w:r>
    </w:p>
    <w:p>
      <w:pPr>
        <w:ind w:firstLine="645"/>
        <w:rPr>
          <w:rFonts w:ascii="仿宋_GB2312" w:eastAsia="仿宋_GB2312"/>
          <w:sz w:val="32"/>
          <w:szCs w:val="32"/>
        </w:rPr>
      </w:pPr>
      <w:r>
        <w:rPr>
          <w:rFonts w:hint="eastAsia" w:ascii="仿宋_GB2312" w:eastAsia="仿宋_GB2312"/>
          <w:sz w:val="32"/>
          <w:szCs w:val="32"/>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5"/>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关于</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b/>
          <w:sz w:val="32"/>
          <w:szCs w:val="32"/>
        </w:rPr>
        <w:t>2016年度收入决算情况说明</w:t>
      </w:r>
    </w:p>
    <w:p>
      <w:pPr>
        <w:ind w:firstLine="645"/>
        <w:rPr>
          <w:rFonts w:ascii="仿宋_GB2312" w:eastAsia="仿宋_GB2312"/>
          <w:sz w:val="32"/>
          <w:szCs w:val="32"/>
        </w:rPr>
      </w:pPr>
      <w:r>
        <w:rPr>
          <w:rFonts w:ascii="仿宋_GB2312" w:eastAsia="仿宋_GB2312"/>
          <w:sz w:val="32"/>
          <w:szCs w:val="32"/>
        </w:rPr>
        <w:t>本年收入合计</w:t>
      </w:r>
      <w:r>
        <w:rPr>
          <w:rFonts w:hint="eastAsia" w:ascii="仿宋_GB2312" w:eastAsia="仿宋_GB2312"/>
          <w:sz w:val="32"/>
          <w:szCs w:val="32"/>
        </w:rPr>
        <w:t>1499.43</w:t>
      </w:r>
      <w:r>
        <w:rPr>
          <w:rFonts w:ascii="仿宋_GB2312" w:eastAsia="仿宋_GB2312"/>
          <w:sz w:val="32"/>
          <w:szCs w:val="32"/>
        </w:rPr>
        <w:t>万元，其中：财政拨款收入</w:t>
      </w:r>
      <w:r>
        <w:rPr>
          <w:rFonts w:hint="eastAsia" w:ascii="仿宋_GB2312" w:eastAsia="仿宋_GB2312"/>
          <w:sz w:val="32"/>
          <w:szCs w:val="32"/>
        </w:rPr>
        <w:t>478.78</w:t>
      </w:r>
      <w:r>
        <w:rPr>
          <w:rFonts w:ascii="仿宋_GB2312" w:eastAsia="仿宋_GB2312"/>
          <w:sz w:val="32"/>
          <w:szCs w:val="32"/>
        </w:rPr>
        <w:t>万元，占</w:t>
      </w:r>
      <w:r>
        <w:rPr>
          <w:rFonts w:hint="eastAsia" w:ascii="仿宋_GB2312" w:eastAsia="仿宋_GB2312"/>
          <w:sz w:val="32"/>
          <w:szCs w:val="32"/>
        </w:rPr>
        <w:t>32</w:t>
      </w:r>
      <w:r>
        <w:rPr>
          <w:rFonts w:ascii="仿宋_GB2312" w:eastAsia="仿宋_GB2312"/>
          <w:sz w:val="32"/>
          <w:szCs w:val="32"/>
        </w:rPr>
        <w:t>%；事业收入</w:t>
      </w:r>
      <w:r>
        <w:rPr>
          <w:rFonts w:hint="eastAsia" w:ascii="仿宋_GB2312" w:eastAsia="仿宋_GB2312"/>
          <w:sz w:val="32"/>
          <w:szCs w:val="32"/>
        </w:rPr>
        <w:t>0</w:t>
      </w:r>
      <w:r>
        <w:rPr>
          <w:rFonts w:ascii="仿宋_GB2312" w:eastAsia="仿宋_GB2312"/>
          <w:sz w:val="32"/>
          <w:szCs w:val="32"/>
        </w:rPr>
        <w:t>万元；经营收入</w:t>
      </w:r>
      <w:r>
        <w:rPr>
          <w:rFonts w:hint="eastAsia" w:ascii="仿宋_GB2312" w:eastAsia="仿宋_GB2312"/>
          <w:sz w:val="32"/>
          <w:szCs w:val="32"/>
        </w:rPr>
        <w:t>0</w:t>
      </w:r>
      <w:r>
        <w:rPr>
          <w:rFonts w:ascii="仿宋_GB2312" w:eastAsia="仿宋_GB2312"/>
          <w:sz w:val="32"/>
          <w:szCs w:val="32"/>
        </w:rPr>
        <w:t>万元；附属单位上缴收入</w:t>
      </w:r>
      <w:r>
        <w:rPr>
          <w:rFonts w:hint="eastAsia" w:ascii="仿宋_GB2312" w:eastAsia="仿宋_GB2312"/>
          <w:sz w:val="32"/>
          <w:szCs w:val="32"/>
        </w:rPr>
        <w:t>0</w:t>
      </w:r>
      <w:r>
        <w:rPr>
          <w:rFonts w:ascii="仿宋_GB2312" w:eastAsia="仿宋_GB2312"/>
          <w:sz w:val="32"/>
          <w:szCs w:val="32"/>
        </w:rPr>
        <w:t>万元；其他收入</w:t>
      </w:r>
      <w:r>
        <w:rPr>
          <w:rFonts w:hint="eastAsia" w:ascii="仿宋_GB2312" w:eastAsia="仿宋_GB2312"/>
          <w:sz w:val="32"/>
          <w:szCs w:val="32"/>
        </w:rPr>
        <w:t>1017.85</w:t>
      </w:r>
      <w:r>
        <w:rPr>
          <w:rFonts w:ascii="仿宋_GB2312" w:eastAsia="仿宋_GB2312"/>
          <w:sz w:val="32"/>
          <w:szCs w:val="32"/>
        </w:rPr>
        <w:t>万元，占</w:t>
      </w:r>
      <w:r>
        <w:rPr>
          <w:rFonts w:hint="eastAsia" w:ascii="仿宋_GB2312" w:eastAsia="仿宋_GB2312"/>
          <w:sz w:val="32"/>
          <w:szCs w:val="32"/>
        </w:rPr>
        <w:t>68</w:t>
      </w:r>
      <w:r>
        <w:rPr>
          <w:rFonts w:ascii="仿宋_GB2312" w:eastAsia="仿宋_GB2312"/>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drawing>
          <wp:inline distT="0" distB="0" distL="0" distR="0">
            <wp:extent cx="3356610" cy="1907540"/>
            <wp:effectExtent l="19050" t="0" r="14653"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b/>
          <w:sz w:val="32"/>
          <w:szCs w:val="32"/>
        </w:rPr>
      </w:pPr>
      <w:r>
        <w:rPr>
          <w:rFonts w:ascii="仿宋_GB2312" w:eastAsia="仿宋_GB2312"/>
          <w:b/>
          <w:sz w:val="32"/>
          <w:szCs w:val="32"/>
        </w:rPr>
        <w:t>三、关于</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b/>
          <w:sz w:val="32"/>
          <w:szCs w:val="32"/>
        </w:rPr>
        <w:t>2016年度支出决算情况说明</w:t>
      </w:r>
    </w:p>
    <w:p>
      <w:pPr>
        <w:ind w:firstLine="645"/>
        <w:rPr>
          <w:rFonts w:ascii="仿宋_GB2312" w:eastAsia="仿宋_GB2312"/>
          <w:sz w:val="32"/>
          <w:szCs w:val="32"/>
        </w:rPr>
      </w:pPr>
      <w:r>
        <w:rPr>
          <w:rFonts w:ascii="仿宋_GB2312" w:eastAsia="仿宋_GB2312"/>
          <w:sz w:val="32"/>
          <w:szCs w:val="32"/>
        </w:rPr>
        <w:t>本年支出合计</w:t>
      </w:r>
      <w:r>
        <w:rPr>
          <w:rFonts w:hint="eastAsia" w:ascii="仿宋_GB2312" w:eastAsia="仿宋_GB2312"/>
          <w:sz w:val="32"/>
          <w:szCs w:val="32"/>
        </w:rPr>
        <w:t>1104.25</w:t>
      </w:r>
      <w:r>
        <w:rPr>
          <w:rFonts w:ascii="仿宋_GB2312" w:eastAsia="仿宋_GB2312"/>
          <w:sz w:val="32"/>
          <w:szCs w:val="32"/>
        </w:rPr>
        <w:t>万元，其中：基本支出</w:t>
      </w:r>
      <w:r>
        <w:rPr>
          <w:rFonts w:hint="eastAsia" w:ascii="仿宋_GB2312" w:eastAsia="仿宋_GB2312"/>
          <w:sz w:val="32"/>
          <w:szCs w:val="32"/>
        </w:rPr>
        <w:t>478.30</w:t>
      </w:r>
      <w:r>
        <w:rPr>
          <w:rFonts w:ascii="仿宋_GB2312" w:eastAsia="仿宋_GB2312"/>
          <w:sz w:val="32"/>
          <w:szCs w:val="32"/>
        </w:rPr>
        <w:t>万元，占</w:t>
      </w:r>
      <w:r>
        <w:rPr>
          <w:rFonts w:hint="eastAsia" w:ascii="仿宋_GB2312" w:eastAsia="仿宋_GB2312"/>
          <w:sz w:val="32"/>
          <w:szCs w:val="32"/>
        </w:rPr>
        <w:t>43</w:t>
      </w:r>
      <w:r>
        <w:rPr>
          <w:rFonts w:ascii="仿宋_GB2312" w:eastAsia="仿宋_GB2312"/>
          <w:sz w:val="32"/>
          <w:szCs w:val="32"/>
        </w:rPr>
        <w:t>%；项目支出</w:t>
      </w:r>
      <w:r>
        <w:rPr>
          <w:rFonts w:hint="eastAsia" w:ascii="仿宋_GB2312" w:eastAsia="仿宋_GB2312"/>
          <w:sz w:val="32"/>
          <w:szCs w:val="32"/>
        </w:rPr>
        <w:t>625.94</w:t>
      </w:r>
      <w:r>
        <w:rPr>
          <w:rFonts w:ascii="仿宋_GB2312" w:eastAsia="仿宋_GB2312"/>
          <w:sz w:val="32"/>
          <w:szCs w:val="32"/>
        </w:rPr>
        <w:t>万元，占</w:t>
      </w:r>
      <w:r>
        <w:rPr>
          <w:rFonts w:hint="eastAsia" w:ascii="仿宋_GB2312" w:eastAsia="仿宋_GB2312"/>
          <w:sz w:val="32"/>
          <w:szCs w:val="32"/>
        </w:rPr>
        <w:t>57</w:t>
      </w:r>
      <w:r>
        <w:rPr>
          <w:rFonts w:ascii="仿宋_GB2312" w:eastAsia="仿宋_GB2312"/>
          <w:sz w:val="32"/>
          <w:szCs w:val="32"/>
        </w:rPr>
        <w:t>%；经营支出</w:t>
      </w:r>
      <w:r>
        <w:rPr>
          <w:rFonts w:hint="eastAsia" w:ascii="仿宋_GB2312" w:eastAsia="仿宋_GB2312"/>
          <w:sz w:val="32"/>
          <w:szCs w:val="32"/>
        </w:rPr>
        <w:t>0</w:t>
      </w:r>
      <w:r>
        <w:rPr>
          <w:rFonts w:ascii="仿宋_GB2312" w:eastAsia="仿宋_GB2312"/>
          <w:sz w:val="32"/>
          <w:szCs w:val="32"/>
        </w:rPr>
        <w:t>万元。</w:t>
      </w:r>
    </w:p>
    <w:p>
      <w:pPr>
        <w:rPr>
          <w:rFonts w:ascii="仿宋_GB2312" w:eastAsia="仿宋_GB2312"/>
          <w:sz w:val="32"/>
          <w:szCs w:val="32"/>
        </w:rPr>
      </w:pPr>
      <w:r>
        <w:rPr>
          <w:rFonts w:ascii="仿宋_GB2312" w:eastAsia="仿宋_GB2312"/>
          <w:sz w:val="32"/>
          <w:szCs w:val="32"/>
        </w:rPr>
        <w:drawing>
          <wp:inline distT="0" distB="0" distL="0" distR="0">
            <wp:extent cx="3470910" cy="1861185"/>
            <wp:effectExtent l="19050" t="0" r="14654" b="5471"/>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5"/>
        <w:rPr>
          <w:rFonts w:ascii="仿宋_GB2312" w:eastAsia="仿宋_GB2312"/>
          <w:b/>
          <w:sz w:val="32"/>
          <w:szCs w:val="32"/>
        </w:rPr>
      </w:pPr>
      <w:r>
        <w:rPr>
          <w:rFonts w:ascii="仿宋_GB2312" w:eastAsia="仿宋_GB2312"/>
          <w:b/>
          <w:sz w:val="32"/>
          <w:szCs w:val="32"/>
        </w:rPr>
        <w:t>四、关于</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b/>
          <w:sz w:val="32"/>
          <w:szCs w:val="32"/>
        </w:rPr>
        <w:t>2016年度财政拨款收入支出决算总体情况说明</w:t>
      </w:r>
    </w:p>
    <w:p>
      <w:pPr>
        <w:ind w:firstLine="645"/>
        <w:rPr>
          <w:rFonts w:ascii="仿宋_GB2312" w:eastAsia="仿宋_GB2312"/>
          <w:sz w:val="32"/>
          <w:szCs w:val="32"/>
        </w:rPr>
      </w:pP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sz w:val="32"/>
          <w:szCs w:val="32"/>
        </w:rPr>
        <w:t>2016年度财政拨款收支总决算</w:t>
      </w:r>
      <w:r>
        <w:rPr>
          <w:rFonts w:hint="eastAsia" w:ascii="仿宋_GB2312" w:eastAsia="仿宋_GB2312"/>
          <w:sz w:val="32"/>
          <w:szCs w:val="32"/>
        </w:rPr>
        <w:t>478.30</w:t>
      </w:r>
      <w:r>
        <w:rPr>
          <w:rFonts w:ascii="仿宋_GB2312" w:eastAsia="仿宋_GB2312"/>
          <w:sz w:val="32"/>
          <w:szCs w:val="32"/>
        </w:rPr>
        <w:t>万元。与2015年相比，财政拨款收支总计增加</w:t>
      </w:r>
      <w:r>
        <w:rPr>
          <w:rFonts w:hint="eastAsia" w:ascii="仿宋_GB2312" w:eastAsia="仿宋_GB2312"/>
          <w:sz w:val="32"/>
          <w:szCs w:val="32"/>
        </w:rPr>
        <w:t>137.9</w:t>
      </w:r>
      <w:r>
        <w:rPr>
          <w:rFonts w:ascii="仿宋_GB2312" w:eastAsia="仿宋_GB2312"/>
          <w:sz w:val="32"/>
          <w:szCs w:val="32"/>
        </w:rPr>
        <w:t>万元，增长</w:t>
      </w:r>
      <w:r>
        <w:rPr>
          <w:rFonts w:hint="eastAsia" w:ascii="仿宋_GB2312" w:eastAsia="仿宋_GB2312"/>
          <w:sz w:val="32"/>
          <w:szCs w:val="32"/>
        </w:rPr>
        <w:t>28</w:t>
      </w:r>
      <w:r>
        <w:rPr>
          <w:rFonts w:ascii="仿宋_GB2312" w:eastAsia="仿宋_GB2312"/>
          <w:sz w:val="32"/>
          <w:szCs w:val="32"/>
        </w:rPr>
        <w:t>%。主要原因是</w:t>
      </w:r>
      <w:r>
        <w:rPr>
          <w:rFonts w:hint="eastAsia" w:ascii="仿宋_GB2312" w:eastAsia="仿宋_GB2312"/>
          <w:sz w:val="32"/>
          <w:szCs w:val="32"/>
        </w:rPr>
        <w:t>人员经费增加。</w:t>
      </w:r>
    </w:p>
    <w:p>
      <w:pPr>
        <w:ind w:firstLine="645"/>
        <w:rPr>
          <w:rFonts w:ascii="仿宋_GB2312" w:eastAsia="仿宋_GB2312"/>
          <w:sz w:val="32"/>
          <w:szCs w:val="32"/>
        </w:rPr>
      </w:pPr>
      <w:r>
        <w:rPr>
          <w:rFonts w:ascii="仿宋_GB2312" w:eastAsia="仿宋_GB2312"/>
          <w:sz w:val="32"/>
          <w:szCs w:val="32"/>
        </w:rPr>
        <w:drawing>
          <wp:inline distT="0" distB="0" distL="0" distR="0">
            <wp:extent cx="5486400" cy="320040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5"/>
        <w:rPr>
          <w:rFonts w:ascii="仿宋_GB2312" w:eastAsia="仿宋_GB2312"/>
          <w:b/>
          <w:sz w:val="32"/>
          <w:szCs w:val="32"/>
        </w:rPr>
      </w:pPr>
      <w:r>
        <w:rPr>
          <w:rFonts w:ascii="仿宋_GB2312" w:eastAsia="仿宋_GB2312"/>
          <w:b/>
          <w:sz w:val="32"/>
          <w:szCs w:val="32"/>
        </w:rPr>
        <w:t>五、关于</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b/>
          <w:sz w:val="32"/>
          <w:szCs w:val="32"/>
        </w:rPr>
        <w:t>2016年度一般公共预算财政拨款支出决算情况说明</w:t>
      </w:r>
    </w:p>
    <w:p>
      <w:pPr>
        <w:ind w:firstLine="645"/>
        <w:rPr>
          <w:rFonts w:ascii="仿宋_GB2312" w:eastAsia="仿宋_GB2312"/>
          <w:b/>
          <w:sz w:val="32"/>
          <w:szCs w:val="32"/>
        </w:rPr>
      </w:pPr>
      <w:r>
        <w:rPr>
          <w:rFonts w:ascii="仿宋_GB2312" w:eastAsia="仿宋_GB2312"/>
          <w:b/>
          <w:sz w:val="32"/>
          <w:szCs w:val="32"/>
        </w:rPr>
        <w:t>（一）财政拨款支出决算总体情况</w:t>
      </w:r>
    </w:p>
    <w:p>
      <w:pPr>
        <w:ind w:firstLine="645"/>
        <w:rPr>
          <w:rFonts w:ascii="仿宋_GB2312" w:eastAsia="仿宋_GB2312"/>
          <w:sz w:val="32"/>
          <w:szCs w:val="32"/>
        </w:rPr>
      </w:pP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sz w:val="32"/>
          <w:szCs w:val="32"/>
        </w:rPr>
        <w:t>2016年度财政拨款支出</w:t>
      </w:r>
      <w:r>
        <w:rPr>
          <w:rFonts w:hint="eastAsia" w:ascii="仿宋_GB2312" w:eastAsia="仿宋_GB2312"/>
          <w:sz w:val="32"/>
          <w:szCs w:val="32"/>
        </w:rPr>
        <w:t>478.30</w:t>
      </w:r>
      <w:r>
        <w:rPr>
          <w:rFonts w:ascii="仿宋_GB2312" w:eastAsia="仿宋_GB2312"/>
          <w:sz w:val="32"/>
          <w:szCs w:val="32"/>
        </w:rPr>
        <w:t>万元，占本年支出合计的</w:t>
      </w:r>
      <w:r>
        <w:rPr>
          <w:rFonts w:hint="eastAsia" w:ascii="仿宋_GB2312" w:eastAsia="仿宋_GB2312"/>
          <w:sz w:val="32"/>
          <w:szCs w:val="32"/>
        </w:rPr>
        <w:t>32</w:t>
      </w:r>
      <w:r>
        <w:rPr>
          <w:rFonts w:ascii="仿宋_GB2312" w:eastAsia="仿宋_GB2312"/>
          <w:sz w:val="32"/>
          <w:szCs w:val="32"/>
        </w:rPr>
        <w:t>%。与2015年相比，财政拨款支出增加</w:t>
      </w:r>
      <w:r>
        <w:rPr>
          <w:rFonts w:hint="eastAsia" w:ascii="仿宋_GB2312" w:eastAsia="仿宋_GB2312"/>
          <w:sz w:val="32"/>
          <w:szCs w:val="32"/>
        </w:rPr>
        <w:t>137.9</w:t>
      </w:r>
      <w:r>
        <w:rPr>
          <w:rFonts w:ascii="仿宋_GB2312" w:eastAsia="仿宋_GB2312"/>
          <w:sz w:val="32"/>
          <w:szCs w:val="32"/>
        </w:rPr>
        <w:t>万元，增长</w:t>
      </w:r>
      <w:r>
        <w:rPr>
          <w:rFonts w:hint="eastAsia" w:ascii="仿宋_GB2312" w:eastAsia="仿宋_GB2312"/>
          <w:sz w:val="32"/>
          <w:szCs w:val="32"/>
        </w:rPr>
        <w:t>29</w:t>
      </w:r>
      <w:r>
        <w:rPr>
          <w:rFonts w:ascii="仿宋_GB2312" w:eastAsia="仿宋_GB2312"/>
          <w:sz w:val="32"/>
          <w:szCs w:val="32"/>
        </w:rPr>
        <w:t>%。主要原因是</w:t>
      </w:r>
      <w:r>
        <w:rPr>
          <w:rFonts w:hint="eastAsia" w:ascii="仿宋_GB2312" w:eastAsia="仿宋_GB2312"/>
          <w:sz w:val="32"/>
          <w:szCs w:val="32"/>
        </w:rPr>
        <w:t>人员经费增加。</w:t>
      </w:r>
    </w:p>
    <w:p>
      <w:pPr>
        <w:ind w:firstLine="645"/>
        <w:rPr>
          <w:rFonts w:ascii="仿宋_GB2312" w:eastAsia="仿宋_GB2312"/>
          <w:b/>
          <w:sz w:val="32"/>
          <w:szCs w:val="32"/>
        </w:rPr>
      </w:pPr>
      <w:r>
        <w:rPr>
          <w:rFonts w:ascii="仿宋_GB2312" w:eastAsia="仿宋_GB2312"/>
          <w:b/>
          <w:sz w:val="32"/>
          <w:szCs w:val="32"/>
        </w:rPr>
        <w:t>（二）财政拨款支出决算结构情况</w:t>
      </w:r>
    </w:p>
    <w:p>
      <w:pPr>
        <w:ind w:firstLine="645"/>
        <w:rPr>
          <w:rFonts w:ascii="仿宋_GB2312" w:eastAsia="仿宋_GB2312"/>
          <w:sz w:val="32"/>
          <w:szCs w:val="32"/>
        </w:rPr>
      </w:pP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sz w:val="32"/>
          <w:szCs w:val="32"/>
        </w:rPr>
        <w:t>2016年度财政拨款支出主要用于以下方面：</w:t>
      </w:r>
    </w:p>
    <w:p>
      <w:pPr>
        <w:ind w:firstLine="645"/>
        <w:rPr>
          <w:rFonts w:ascii="仿宋_GB2312" w:eastAsia="仿宋_GB2312"/>
          <w:sz w:val="32"/>
          <w:szCs w:val="32"/>
        </w:rPr>
      </w:pPr>
      <w:r>
        <w:rPr>
          <w:rFonts w:hint="eastAsia" w:ascii="仿宋_GB2312" w:eastAsia="仿宋_GB2312"/>
          <w:sz w:val="32"/>
          <w:szCs w:val="32"/>
        </w:rPr>
        <w:t>1、一般公共服务（类）支出273万元，</w:t>
      </w:r>
      <w:r>
        <w:rPr>
          <w:rFonts w:ascii="仿宋_GB2312" w:eastAsia="仿宋_GB2312"/>
          <w:sz w:val="32"/>
          <w:szCs w:val="32"/>
        </w:rPr>
        <w:t>占</w:t>
      </w: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,主要用于及所</w:t>
      </w:r>
      <w:r>
        <w:rPr>
          <w:rFonts w:hint="eastAsia" w:ascii="仿宋_GB2312" w:eastAsia="仿宋_GB2312"/>
          <w:sz w:val="32"/>
          <w:szCs w:val="32"/>
          <w:lang w:eastAsia="zh-CN"/>
        </w:rPr>
        <w:t>贵德县新街</w:t>
      </w:r>
      <w:r>
        <w:rPr>
          <w:rFonts w:hint="eastAsia" w:ascii="仿宋_GB2312" w:eastAsia="仿宋_GB2312"/>
          <w:sz w:val="32"/>
          <w:szCs w:val="32"/>
        </w:rPr>
        <w:t>回族乡人民政府保障机构正常运转、开展公共管理活动所发生的基本支出和项目支出。</w:t>
      </w:r>
    </w:p>
    <w:p>
      <w:pPr>
        <w:ind w:firstLine="645"/>
        <w:rPr>
          <w:rFonts w:ascii="仿宋_GB2312" w:eastAsia="仿宋_GB2312"/>
          <w:sz w:val="32"/>
          <w:szCs w:val="32"/>
        </w:rPr>
      </w:pPr>
      <w:r>
        <w:rPr>
          <w:rFonts w:hint="eastAsia" w:ascii="仿宋_GB2312" w:eastAsia="仿宋_GB2312"/>
          <w:sz w:val="32"/>
          <w:szCs w:val="32"/>
        </w:rPr>
        <w:t>2、文化体育与传媒（类）支出0.56万元,</w:t>
      </w:r>
      <w:r>
        <w:rPr>
          <w:rFonts w:ascii="仿宋_GB2312" w:eastAsia="仿宋_GB2312"/>
          <w:sz w:val="32"/>
          <w:szCs w:val="32"/>
        </w:rPr>
        <w:t>占</w:t>
      </w:r>
      <w:r>
        <w:rPr>
          <w:rFonts w:hint="eastAsia" w:ascii="仿宋_GB2312" w:eastAsia="仿宋_GB2312"/>
          <w:sz w:val="32"/>
          <w:szCs w:val="32"/>
        </w:rPr>
        <w:t>0.06</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sz w:val="32"/>
          <w:szCs w:val="32"/>
          <w:lang w:eastAsia="zh-CN"/>
        </w:rPr>
        <w:t>贵德县新街</w:t>
      </w:r>
      <w:r>
        <w:rPr>
          <w:rFonts w:hint="eastAsia" w:ascii="仿宋_GB2312" w:eastAsia="仿宋_GB2312"/>
          <w:sz w:val="32"/>
          <w:szCs w:val="32"/>
        </w:rPr>
        <w:t>回族乡人民政府的体育活动、新闻通讯、出版发行等方面的支出。</w:t>
      </w:r>
    </w:p>
    <w:p>
      <w:pPr>
        <w:ind w:firstLine="640" w:firstLineChars="200"/>
        <w:rPr>
          <w:rFonts w:ascii="仿宋_GB2312" w:eastAsia="仿宋_GB2312"/>
          <w:sz w:val="32"/>
          <w:szCs w:val="32"/>
        </w:rPr>
      </w:pPr>
      <w:r>
        <w:rPr>
          <w:rFonts w:hint="eastAsia" w:ascii="仿宋_GB2312" w:eastAsia="仿宋_GB2312"/>
          <w:sz w:val="32"/>
          <w:szCs w:val="32"/>
        </w:rPr>
        <w:t>3、社会保障和就业(类)支出47.93万元，</w:t>
      </w:r>
      <w:r>
        <w:rPr>
          <w:rFonts w:ascii="仿宋_GB2312" w:eastAsia="仿宋_GB2312"/>
          <w:sz w:val="32"/>
          <w:szCs w:val="32"/>
        </w:rPr>
        <w:t>占</w:t>
      </w:r>
      <w:r>
        <w:rPr>
          <w:rFonts w:hint="eastAsia" w:ascii="仿宋_GB2312" w:eastAsia="仿宋_GB2312"/>
          <w:sz w:val="32"/>
          <w:szCs w:val="32"/>
        </w:rPr>
        <w:t>4.3</w:t>
      </w:r>
      <w:r>
        <w:rPr>
          <w:rFonts w:ascii="仿宋_GB2312" w:eastAsia="仿宋_GB2312"/>
          <w:sz w:val="32"/>
          <w:szCs w:val="32"/>
        </w:rPr>
        <w:t>%</w:t>
      </w:r>
      <w:r>
        <w:rPr>
          <w:rFonts w:hint="eastAsia" w:ascii="仿宋_GB2312" w:eastAsia="仿宋_GB2312"/>
          <w:sz w:val="32"/>
          <w:szCs w:val="32"/>
        </w:rPr>
        <w:t>,主要用于开支</w:t>
      </w:r>
      <w:r>
        <w:rPr>
          <w:rFonts w:hint="eastAsia" w:ascii="仿宋_GB2312" w:eastAsia="仿宋_GB2312"/>
          <w:sz w:val="32"/>
          <w:szCs w:val="32"/>
          <w:lang w:eastAsia="zh-CN"/>
        </w:rPr>
        <w:t>贵德县新街</w:t>
      </w:r>
      <w:r>
        <w:rPr>
          <w:rFonts w:hint="eastAsia" w:ascii="仿宋_GB2312" w:eastAsia="仿宋_GB2312"/>
          <w:sz w:val="32"/>
          <w:szCs w:val="32"/>
        </w:rPr>
        <w:t>回族乡人民政府的离退休人员经费和离退休干部管理机构为离退休人员提供管理和服务所发生的工作支出。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rPr>
        <w:t>4、医疗卫生(类)支出8.44万元，</w:t>
      </w:r>
      <w:r>
        <w:rPr>
          <w:rFonts w:ascii="仿宋_GB2312" w:eastAsia="仿宋_GB2312"/>
          <w:sz w:val="32"/>
          <w:szCs w:val="32"/>
        </w:rPr>
        <w:t>占</w:t>
      </w:r>
      <w:r>
        <w:rPr>
          <w:rFonts w:hint="eastAsia" w:ascii="仿宋_GB2312" w:eastAsia="仿宋_GB2312"/>
          <w:sz w:val="32"/>
          <w:szCs w:val="32"/>
        </w:rPr>
        <w:t>0.8</w:t>
      </w:r>
      <w:r>
        <w:rPr>
          <w:rFonts w:ascii="仿宋_GB2312" w:eastAsia="仿宋_GB2312"/>
          <w:sz w:val="32"/>
          <w:szCs w:val="32"/>
        </w:rPr>
        <w:t>%</w:t>
      </w:r>
      <w:r>
        <w:rPr>
          <w:rFonts w:hint="eastAsia" w:ascii="仿宋_GB2312" w:eastAsia="仿宋_GB2312"/>
          <w:sz w:val="32"/>
          <w:szCs w:val="32"/>
        </w:rPr>
        <w:t>,主要用于</w:t>
      </w:r>
      <w:r>
        <w:rPr>
          <w:rFonts w:hint="eastAsia" w:ascii="仿宋_GB2312" w:eastAsia="仿宋_GB2312"/>
          <w:sz w:val="32"/>
          <w:szCs w:val="32"/>
          <w:lang w:eastAsia="zh-CN"/>
        </w:rPr>
        <w:t>贵德县新街</w:t>
      </w:r>
      <w:r>
        <w:rPr>
          <w:rFonts w:hint="eastAsia" w:ascii="仿宋_GB2312" w:eastAsia="仿宋_GB2312"/>
          <w:sz w:val="32"/>
          <w:szCs w:val="32"/>
        </w:rPr>
        <w:t>回族乡计划生育机构医疗卫生、重大疾病预防控制及突发公共卫生事件处理等方面的支出。</w:t>
      </w:r>
    </w:p>
    <w:p>
      <w:pPr>
        <w:ind w:firstLine="640" w:firstLineChars="200"/>
        <w:rPr>
          <w:rFonts w:ascii="仿宋_GB2312" w:eastAsia="仿宋_GB2312"/>
          <w:sz w:val="32"/>
          <w:szCs w:val="32"/>
        </w:rPr>
      </w:pPr>
      <w:r>
        <w:rPr>
          <w:rFonts w:hint="eastAsia" w:ascii="仿宋_GB2312" w:eastAsia="仿宋_GB2312"/>
          <w:sz w:val="32"/>
          <w:szCs w:val="32"/>
        </w:rPr>
        <w:t>5、城乡社区支出299.39万元，</w:t>
      </w:r>
      <w:r>
        <w:rPr>
          <w:rFonts w:ascii="仿宋_GB2312" w:eastAsia="仿宋_GB2312"/>
          <w:sz w:val="32"/>
          <w:szCs w:val="32"/>
        </w:rPr>
        <w:t>占</w:t>
      </w:r>
      <w:r>
        <w:rPr>
          <w:rFonts w:hint="eastAsia" w:ascii="仿宋_GB2312" w:eastAsia="仿宋_GB2312"/>
          <w:sz w:val="32"/>
          <w:szCs w:val="32"/>
        </w:rPr>
        <w:t>27</w:t>
      </w:r>
      <w:r>
        <w:rPr>
          <w:rFonts w:ascii="仿宋_GB2312" w:eastAsia="仿宋_GB2312"/>
          <w:sz w:val="32"/>
          <w:szCs w:val="32"/>
        </w:rPr>
        <w:t>%</w:t>
      </w:r>
      <w:r>
        <w:rPr>
          <w:rFonts w:hint="eastAsia" w:ascii="仿宋_GB2312" w:eastAsia="仿宋_GB2312"/>
          <w:sz w:val="32"/>
          <w:szCs w:val="32"/>
        </w:rPr>
        <w:t>,主要用于其他城乡社区方面的支出。包括行政管理、基础设施建设等方面的支出。</w:t>
      </w:r>
    </w:p>
    <w:p>
      <w:pPr>
        <w:ind w:firstLine="640" w:firstLineChars="200"/>
        <w:rPr>
          <w:rFonts w:ascii="仿宋_GB2312" w:eastAsia="仿宋_GB2312"/>
          <w:sz w:val="32"/>
          <w:szCs w:val="32"/>
        </w:rPr>
      </w:pPr>
      <w:r>
        <w:rPr>
          <w:rFonts w:hint="eastAsia" w:ascii="仿宋_GB2312" w:eastAsia="仿宋_GB2312"/>
          <w:sz w:val="32"/>
          <w:szCs w:val="32"/>
        </w:rPr>
        <w:t>6、农林水支出440.69万元，</w:t>
      </w:r>
      <w:r>
        <w:rPr>
          <w:rFonts w:ascii="仿宋_GB2312" w:eastAsia="仿宋_GB2312"/>
          <w:sz w:val="32"/>
          <w:szCs w:val="32"/>
        </w:rPr>
        <w:t>占</w:t>
      </w:r>
      <w:r>
        <w:rPr>
          <w:rFonts w:hint="eastAsia" w:ascii="仿宋_GB2312" w:eastAsia="仿宋_GB2312"/>
          <w:sz w:val="32"/>
          <w:szCs w:val="32"/>
        </w:rPr>
        <w:t>40</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7、住房保障支出(类)支出22.42万元，</w:t>
      </w:r>
      <w:r>
        <w:rPr>
          <w:rFonts w:ascii="仿宋_GB2312" w:eastAsia="仿宋_GB2312"/>
          <w:sz w:val="32"/>
          <w:szCs w:val="32"/>
        </w:rPr>
        <w:t>占</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,主要用于按照国家政策规定为职工缴纳和发放的住房公积金、提租补贴、购房补贴等住房改革方面的支出。</w:t>
      </w:r>
    </w:p>
    <w:p>
      <w:pPr>
        <w:ind w:firstLine="640" w:firstLineChars="200"/>
        <w:rPr>
          <w:rFonts w:ascii="仿宋_GB2312" w:eastAsia="仿宋_GB2312"/>
          <w:sz w:val="32"/>
          <w:szCs w:val="32"/>
        </w:rPr>
      </w:pPr>
      <w:r>
        <w:rPr>
          <w:rFonts w:hint="eastAsia" w:ascii="仿宋_GB2312" w:eastAsia="仿宋_GB2312"/>
          <w:sz w:val="32"/>
          <w:szCs w:val="32"/>
        </w:rPr>
        <w:t>8、其他支出：11.81万元。</w:t>
      </w:r>
    </w:p>
    <w:p>
      <w:pPr>
        <w:ind w:firstLine="640" w:firstLineChars="200"/>
        <w:rPr>
          <w:rFonts w:ascii="仿宋_GB2312" w:eastAsia="仿宋_GB2312"/>
          <w:sz w:val="32"/>
          <w:szCs w:val="32"/>
        </w:rPr>
      </w:pPr>
      <w:r>
        <w:rPr>
          <w:rFonts w:hint="eastAsia" w:ascii="仿宋_GB2312" w:eastAsia="仿宋_GB2312"/>
          <w:sz w:val="32"/>
          <w:szCs w:val="32"/>
        </w:rPr>
        <w:t>9、结转下年395.19万元，为本年度或以前年度预算安排、因客观条件发生变化无法按原计划实施，需要延迟到以后年度按有关规定继续使用的资金，既包括财政</w:t>
      </w:r>
      <w:r>
        <w:rPr>
          <w:rFonts w:hint="eastAsia" w:ascii="仿宋_GB2312" w:eastAsia="仿宋_GB2312"/>
          <w:sz w:val="32"/>
          <w:szCs w:val="32"/>
          <w:lang w:eastAsia="zh-CN"/>
        </w:rPr>
        <w:t>拨</w:t>
      </w:r>
      <w:bookmarkStart w:id="0" w:name="_GoBack"/>
      <w:bookmarkEnd w:id="0"/>
      <w:r>
        <w:rPr>
          <w:rFonts w:hint="eastAsia" w:ascii="仿宋_GB2312" w:eastAsia="仿宋_GB2312"/>
          <w:sz w:val="32"/>
          <w:szCs w:val="32"/>
        </w:rPr>
        <w:t>款结转和结余、也包括事业收入、经营收入、其他收入的结转和结余。</w:t>
      </w:r>
    </w:p>
    <w:p>
      <w:pPr>
        <w:ind w:firstLine="642" w:firstLineChars="200"/>
        <w:rPr>
          <w:rFonts w:ascii="仿宋_GB2312" w:eastAsia="仿宋_GB2312"/>
          <w:b/>
          <w:sz w:val="32"/>
          <w:szCs w:val="32"/>
        </w:rPr>
      </w:pPr>
      <w:r>
        <w:rPr>
          <w:rFonts w:ascii="仿宋_GB2312" w:eastAsia="仿宋_GB2312"/>
          <w:b/>
          <w:sz w:val="32"/>
          <w:szCs w:val="32"/>
        </w:rPr>
        <w:t>（三）财政拨款支出决算的具体情况</w:t>
      </w:r>
    </w:p>
    <w:p>
      <w:pPr>
        <w:ind w:firstLine="642" w:firstLineChars="200"/>
        <w:rPr>
          <w:rFonts w:ascii="仿宋_GB2312" w:eastAsia="仿宋_GB2312"/>
          <w:sz w:val="32"/>
          <w:szCs w:val="32"/>
        </w:rPr>
      </w:pPr>
      <w:r>
        <w:rPr>
          <w:rFonts w:hint="eastAsia" w:ascii="仿宋_GB2312" w:eastAsia="仿宋_GB2312"/>
          <w:b/>
          <w:sz w:val="32"/>
          <w:szCs w:val="32"/>
          <w:lang w:eastAsia="zh-CN"/>
        </w:rPr>
        <w:t>贵德县新街</w:t>
      </w:r>
      <w:r>
        <w:rPr>
          <w:rFonts w:hint="eastAsia" w:ascii="仿宋_GB2312" w:eastAsia="仿宋_GB2312"/>
          <w:b/>
          <w:sz w:val="32"/>
          <w:szCs w:val="32"/>
        </w:rPr>
        <w:t>回族乡人民政府</w:t>
      </w:r>
      <w:r>
        <w:rPr>
          <w:rFonts w:ascii="仿宋_GB2312" w:eastAsia="仿宋_GB2312"/>
          <w:sz w:val="32"/>
          <w:szCs w:val="32"/>
        </w:rPr>
        <w:t>2016年度财政拨款支出年初预算为</w:t>
      </w:r>
      <w:r>
        <w:rPr>
          <w:rFonts w:hint="eastAsia" w:ascii="仿宋_GB2312" w:eastAsia="仿宋_GB2312"/>
          <w:sz w:val="32"/>
          <w:szCs w:val="32"/>
        </w:rPr>
        <w:t>455.08</w:t>
      </w:r>
      <w:r>
        <w:rPr>
          <w:rFonts w:ascii="仿宋_GB2312" w:eastAsia="仿宋_GB2312"/>
          <w:sz w:val="32"/>
          <w:szCs w:val="32"/>
        </w:rPr>
        <w:t>万元，支出决算为</w:t>
      </w:r>
      <w:r>
        <w:rPr>
          <w:rFonts w:hint="eastAsia" w:ascii="仿宋_GB2312" w:eastAsia="仿宋_GB2312"/>
          <w:sz w:val="32"/>
          <w:szCs w:val="32"/>
        </w:rPr>
        <w:t>478.3</w:t>
      </w:r>
      <w:r>
        <w:rPr>
          <w:rFonts w:ascii="仿宋_GB2312" w:eastAsia="仿宋_GB2312"/>
          <w:sz w:val="32"/>
          <w:szCs w:val="32"/>
        </w:rPr>
        <w:t>万元，完成年初预算的</w:t>
      </w:r>
      <w:r>
        <w:rPr>
          <w:rFonts w:hint="eastAsia" w:ascii="仿宋_GB2312" w:eastAsia="仿宋_GB2312"/>
          <w:sz w:val="32"/>
          <w:szCs w:val="32"/>
        </w:rPr>
        <w:t>107</w:t>
      </w:r>
      <w:r>
        <w:rPr>
          <w:rFonts w:ascii="仿宋_GB2312" w:eastAsia="仿宋_GB2312"/>
          <w:sz w:val="32"/>
          <w:szCs w:val="32"/>
        </w:rPr>
        <w:t>%。决算数大于预算数的主要原因是</w:t>
      </w:r>
      <w:r>
        <w:rPr>
          <w:rFonts w:hint="eastAsia" w:ascii="仿宋_GB2312" w:eastAsia="仿宋_GB2312"/>
          <w:sz w:val="32"/>
          <w:szCs w:val="32"/>
        </w:rPr>
        <w:t>人员经费增加</w:t>
      </w:r>
      <w:r>
        <w:rPr>
          <w:rFonts w:ascii="仿宋_GB2312" w:eastAsia="仿宋_GB2312"/>
          <w:sz w:val="32"/>
          <w:szCs w:val="32"/>
        </w:rPr>
        <w:t>。其中：</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、201服务公共服务支出（类）</w:t>
      </w:r>
      <w:r>
        <w:rPr>
          <w:rFonts w:ascii="仿宋_GB2312" w:eastAsia="仿宋_GB2312"/>
          <w:sz w:val="32"/>
          <w:szCs w:val="32"/>
        </w:rPr>
        <w:t>。年初预算为</w:t>
      </w:r>
      <w:r>
        <w:rPr>
          <w:rFonts w:hint="eastAsia" w:ascii="仿宋_GB2312" w:eastAsia="仿宋_GB2312"/>
          <w:sz w:val="32"/>
          <w:szCs w:val="32"/>
        </w:rPr>
        <w:t>225.45</w:t>
      </w:r>
      <w:r>
        <w:rPr>
          <w:rFonts w:ascii="仿宋_GB2312" w:eastAsia="仿宋_GB2312"/>
          <w:sz w:val="32"/>
          <w:szCs w:val="32"/>
        </w:rPr>
        <w:t>万元，支出决算为</w:t>
      </w:r>
      <w:r>
        <w:rPr>
          <w:rFonts w:hint="eastAsia" w:ascii="仿宋_GB2312" w:eastAsia="仿宋_GB2312"/>
          <w:sz w:val="32"/>
          <w:szCs w:val="32"/>
        </w:rPr>
        <w:t>273.01</w:t>
      </w:r>
      <w:r>
        <w:rPr>
          <w:rFonts w:ascii="仿宋_GB2312" w:eastAsia="仿宋_GB2312"/>
          <w:sz w:val="32"/>
          <w:szCs w:val="32"/>
        </w:rPr>
        <w:t>万元，完成年初预算的</w:t>
      </w:r>
      <w:r>
        <w:rPr>
          <w:rFonts w:hint="eastAsia" w:ascii="仿宋_GB2312" w:eastAsia="仿宋_GB2312"/>
          <w:sz w:val="32"/>
          <w:szCs w:val="32"/>
        </w:rPr>
        <w:t>121</w:t>
      </w:r>
      <w:r>
        <w:rPr>
          <w:rFonts w:ascii="仿宋_GB2312" w:eastAsia="仿宋_GB2312"/>
          <w:sz w:val="32"/>
          <w:szCs w:val="32"/>
        </w:rPr>
        <w:t>%。决算数</w:t>
      </w:r>
      <w:r>
        <w:rPr>
          <w:rFonts w:hint="eastAsia" w:ascii="仿宋_GB2312" w:eastAsia="仿宋_GB2312"/>
          <w:sz w:val="32"/>
          <w:szCs w:val="32"/>
        </w:rPr>
        <w:t>大（</w:t>
      </w:r>
      <w:r>
        <w:rPr>
          <w:rFonts w:ascii="仿宋_GB2312" w:eastAsia="仿宋_GB2312"/>
          <w:sz w:val="32"/>
          <w:szCs w:val="32"/>
        </w:rPr>
        <w:t>小</w:t>
      </w:r>
      <w:r>
        <w:rPr>
          <w:rFonts w:hint="eastAsia" w:ascii="仿宋_GB2312" w:eastAsia="仿宋_GB2312"/>
          <w:sz w:val="32"/>
          <w:szCs w:val="32"/>
        </w:rPr>
        <w:t>）</w:t>
      </w:r>
      <w:r>
        <w:rPr>
          <w:rFonts w:ascii="仿宋_GB2312" w:eastAsia="仿宋_GB2312"/>
          <w:sz w:val="32"/>
          <w:szCs w:val="32"/>
        </w:rPr>
        <w:t>于预算数的主要原因是</w:t>
      </w:r>
      <w:r>
        <w:rPr>
          <w:rFonts w:hint="eastAsia" w:ascii="仿宋_GB2312" w:eastAsia="仿宋_GB2312"/>
          <w:sz w:val="32"/>
          <w:szCs w:val="32"/>
        </w:rPr>
        <w:t>人员经费增加</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2、208社会保障和就业支出</w:t>
      </w:r>
      <w:r>
        <w:rPr>
          <w:rFonts w:ascii="仿宋_GB2312" w:eastAsia="仿宋_GB2312"/>
          <w:sz w:val="32"/>
          <w:szCs w:val="32"/>
        </w:rPr>
        <w:t>（类）。年初预算为</w:t>
      </w:r>
      <w:r>
        <w:rPr>
          <w:rFonts w:hint="eastAsia" w:ascii="仿宋_GB2312" w:eastAsia="仿宋_GB2312"/>
          <w:sz w:val="32"/>
          <w:szCs w:val="32"/>
        </w:rPr>
        <w:t>1.24</w:t>
      </w:r>
      <w:r>
        <w:rPr>
          <w:rFonts w:ascii="仿宋_GB2312" w:eastAsia="仿宋_GB2312"/>
          <w:sz w:val="32"/>
          <w:szCs w:val="32"/>
        </w:rPr>
        <w:t>万元，支出决算为</w:t>
      </w:r>
      <w:r>
        <w:rPr>
          <w:rFonts w:hint="eastAsia" w:ascii="仿宋_GB2312" w:eastAsia="仿宋_GB2312"/>
          <w:sz w:val="32"/>
          <w:szCs w:val="32"/>
        </w:rPr>
        <w:t>47.93</w:t>
      </w:r>
      <w:r>
        <w:rPr>
          <w:rFonts w:ascii="仿宋_GB2312" w:eastAsia="仿宋_GB2312"/>
          <w:sz w:val="32"/>
          <w:szCs w:val="32"/>
        </w:rPr>
        <w:t>万元，完成年初预算的</w:t>
      </w:r>
      <w:r>
        <w:rPr>
          <w:rFonts w:hint="eastAsia" w:ascii="仿宋_GB2312" w:eastAsia="仿宋_GB2312"/>
          <w:sz w:val="32"/>
          <w:szCs w:val="32"/>
        </w:rPr>
        <w:t>387</w:t>
      </w:r>
      <w:r>
        <w:rPr>
          <w:rFonts w:ascii="仿宋_GB2312" w:eastAsia="仿宋_GB2312"/>
          <w:sz w:val="32"/>
          <w:szCs w:val="32"/>
        </w:rPr>
        <w:t>%。决算数</w:t>
      </w:r>
      <w:r>
        <w:rPr>
          <w:rFonts w:hint="eastAsia" w:ascii="仿宋_GB2312" w:eastAsia="仿宋_GB2312"/>
          <w:sz w:val="32"/>
          <w:szCs w:val="32"/>
        </w:rPr>
        <w:t>大（</w:t>
      </w:r>
      <w:r>
        <w:rPr>
          <w:rFonts w:ascii="仿宋_GB2312" w:eastAsia="仿宋_GB2312"/>
          <w:sz w:val="32"/>
          <w:szCs w:val="32"/>
        </w:rPr>
        <w:t>小</w:t>
      </w:r>
      <w:r>
        <w:rPr>
          <w:rFonts w:hint="eastAsia" w:ascii="仿宋_GB2312" w:eastAsia="仿宋_GB2312"/>
          <w:sz w:val="32"/>
          <w:szCs w:val="32"/>
        </w:rPr>
        <w:t>）</w:t>
      </w:r>
      <w:r>
        <w:rPr>
          <w:rFonts w:ascii="仿宋_GB2312" w:eastAsia="仿宋_GB2312"/>
          <w:sz w:val="32"/>
          <w:szCs w:val="32"/>
        </w:rPr>
        <w:t>于预算数的主要原因是</w:t>
      </w:r>
      <w:r>
        <w:rPr>
          <w:rFonts w:hint="eastAsia" w:ascii="仿宋_GB2312" w:eastAsia="仿宋_GB2312"/>
          <w:sz w:val="32"/>
          <w:szCs w:val="32"/>
        </w:rPr>
        <w:t>事业计生养老金归到2080399款项中</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3、210医疗卫生与计划生育支出</w:t>
      </w:r>
      <w:r>
        <w:rPr>
          <w:rFonts w:ascii="仿宋_GB2312" w:eastAsia="仿宋_GB2312"/>
          <w:sz w:val="32"/>
          <w:szCs w:val="32"/>
        </w:rPr>
        <w:t>（类）。年初预算为</w:t>
      </w:r>
      <w:r>
        <w:rPr>
          <w:rFonts w:hint="eastAsia" w:ascii="仿宋_GB2312" w:eastAsia="仿宋_GB2312"/>
          <w:sz w:val="32"/>
          <w:szCs w:val="32"/>
        </w:rPr>
        <w:t>31.54</w:t>
      </w:r>
      <w:r>
        <w:rPr>
          <w:rFonts w:ascii="仿宋_GB2312" w:eastAsia="仿宋_GB2312"/>
          <w:sz w:val="32"/>
          <w:szCs w:val="32"/>
        </w:rPr>
        <w:t>万元，支出决算为</w:t>
      </w:r>
      <w:r>
        <w:rPr>
          <w:rFonts w:hint="eastAsia" w:ascii="仿宋_GB2312" w:eastAsia="仿宋_GB2312"/>
          <w:sz w:val="32"/>
          <w:szCs w:val="32"/>
        </w:rPr>
        <w:t>8.44</w:t>
      </w:r>
      <w:r>
        <w:rPr>
          <w:rFonts w:ascii="仿宋_GB2312" w:eastAsia="仿宋_GB2312"/>
          <w:sz w:val="32"/>
          <w:szCs w:val="32"/>
        </w:rPr>
        <w:t>万元，完成年初预算的</w:t>
      </w:r>
      <w:r>
        <w:rPr>
          <w:rFonts w:hint="eastAsia" w:ascii="仿宋_GB2312" w:eastAsia="仿宋_GB2312"/>
          <w:sz w:val="32"/>
          <w:szCs w:val="32"/>
        </w:rPr>
        <w:t>27</w:t>
      </w:r>
      <w:r>
        <w:rPr>
          <w:rFonts w:ascii="仿宋_GB2312" w:eastAsia="仿宋_GB2312"/>
          <w:sz w:val="32"/>
          <w:szCs w:val="32"/>
        </w:rPr>
        <w:t>%。决算数</w:t>
      </w:r>
      <w:r>
        <w:rPr>
          <w:rFonts w:hint="eastAsia" w:ascii="仿宋_GB2312" w:eastAsia="仿宋_GB2312"/>
          <w:sz w:val="32"/>
          <w:szCs w:val="32"/>
        </w:rPr>
        <w:t>大（</w:t>
      </w:r>
      <w:r>
        <w:rPr>
          <w:rFonts w:ascii="仿宋_GB2312" w:eastAsia="仿宋_GB2312"/>
          <w:sz w:val="32"/>
          <w:szCs w:val="32"/>
        </w:rPr>
        <w:t>小</w:t>
      </w:r>
      <w:r>
        <w:rPr>
          <w:rFonts w:hint="eastAsia" w:ascii="仿宋_GB2312" w:eastAsia="仿宋_GB2312"/>
          <w:sz w:val="32"/>
          <w:szCs w:val="32"/>
        </w:rPr>
        <w:t>）</w:t>
      </w:r>
      <w:r>
        <w:rPr>
          <w:rFonts w:ascii="仿宋_GB2312" w:eastAsia="仿宋_GB2312"/>
          <w:sz w:val="32"/>
          <w:szCs w:val="32"/>
        </w:rPr>
        <w:t>于预算数的主要原因是</w:t>
      </w:r>
      <w:r>
        <w:rPr>
          <w:rFonts w:hint="eastAsia" w:ascii="仿宋_GB2312" w:eastAsia="仿宋_GB2312"/>
          <w:sz w:val="32"/>
          <w:szCs w:val="32"/>
        </w:rPr>
        <w:t>人员经费增加、养老金归到2080399款项中</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4、213农林水支出</w:t>
      </w:r>
      <w:r>
        <w:rPr>
          <w:rFonts w:ascii="仿宋_GB2312" w:eastAsia="仿宋_GB2312"/>
          <w:sz w:val="32"/>
          <w:szCs w:val="32"/>
        </w:rPr>
        <w:t>（类）。年初预算为</w:t>
      </w:r>
      <w:r>
        <w:rPr>
          <w:rFonts w:hint="eastAsia" w:ascii="仿宋_GB2312" w:eastAsia="仿宋_GB2312"/>
          <w:sz w:val="32"/>
          <w:szCs w:val="32"/>
        </w:rPr>
        <w:t>177.18</w:t>
      </w:r>
      <w:r>
        <w:rPr>
          <w:rFonts w:ascii="仿宋_GB2312" w:eastAsia="仿宋_GB2312"/>
          <w:sz w:val="32"/>
          <w:szCs w:val="32"/>
        </w:rPr>
        <w:t>万元，支出决算为</w:t>
      </w:r>
      <w:r>
        <w:rPr>
          <w:rFonts w:hint="eastAsia" w:ascii="仿宋_GB2312" w:eastAsia="仿宋_GB2312"/>
          <w:sz w:val="32"/>
          <w:szCs w:val="32"/>
        </w:rPr>
        <w:t>114.69</w:t>
      </w:r>
      <w:r>
        <w:rPr>
          <w:rFonts w:ascii="仿宋_GB2312" w:eastAsia="仿宋_GB2312"/>
          <w:sz w:val="32"/>
          <w:szCs w:val="32"/>
        </w:rPr>
        <w:t>万元，完成年初预算的</w:t>
      </w:r>
      <w:r>
        <w:rPr>
          <w:rFonts w:hint="eastAsia" w:ascii="仿宋_GB2312" w:eastAsia="仿宋_GB2312"/>
          <w:sz w:val="32"/>
          <w:szCs w:val="32"/>
        </w:rPr>
        <w:t>65</w:t>
      </w:r>
      <w:r>
        <w:rPr>
          <w:rFonts w:ascii="仿宋_GB2312" w:eastAsia="仿宋_GB2312"/>
          <w:sz w:val="32"/>
          <w:szCs w:val="32"/>
        </w:rPr>
        <w:t>%。决算数</w:t>
      </w:r>
      <w:r>
        <w:rPr>
          <w:rFonts w:hint="eastAsia" w:ascii="仿宋_GB2312" w:eastAsia="仿宋_GB2312"/>
          <w:sz w:val="32"/>
          <w:szCs w:val="32"/>
        </w:rPr>
        <w:t>大（</w:t>
      </w:r>
      <w:r>
        <w:rPr>
          <w:rFonts w:ascii="仿宋_GB2312" w:eastAsia="仿宋_GB2312"/>
          <w:sz w:val="32"/>
          <w:szCs w:val="32"/>
        </w:rPr>
        <w:t>小</w:t>
      </w:r>
      <w:r>
        <w:rPr>
          <w:rFonts w:hint="eastAsia" w:ascii="仿宋_GB2312" w:eastAsia="仿宋_GB2312"/>
          <w:sz w:val="32"/>
          <w:szCs w:val="32"/>
        </w:rPr>
        <w:t>）</w:t>
      </w:r>
      <w:r>
        <w:rPr>
          <w:rFonts w:ascii="仿宋_GB2312" w:eastAsia="仿宋_GB2312"/>
          <w:sz w:val="32"/>
          <w:szCs w:val="32"/>
        </w:rPr>
        <w:t>于预算数的主要原因是</w:t>
      </w:r>
      <w:r>
        <w:rPr>
          <w:rFonts w:hint="eastAsia" w:ascii="仿宋_GB2312" w:eastAsia="仿宋_GB2312"/>
          <w:sz w:val="32"/>
          <w:szCs w:val="32"/>
        </w:rPr>
        <w:t>人员经费增加、养老金归到2080399款项中</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5、221住房保障支出</w:t>
      </w:r>
      <w:r>
        <w:rPr>
          <w:rFonts w:ascii="仿宋_GB2312" w:eastAsia="仿宋_GB2312"/>
          <w:sz w:val="32"/>
          <w:szCs w:val="32"/>
        </w:rPr>
        <w:t>（类）。年初预算为</w:t>
      </w:r>
      <w:r>
        <w:rPr>
          <w:rFonts w:hint="eastAsia" w:ascii="仿宋_GB2312" w:eastAsia="仿宋_GB2312"/>
          <w:sz w:val="32"/>
          <w:szCs w:val="32"/>
        </w:rPr>
        <w:t>19.67</w:t>
      </w:r>
      <w:r>
        <w:rPr>
          <w:rFonts w:ascii="仿宋_GB2312" w:eastAsia="仿宋_GB2312"/>
          <w:sz w:val="32"/>
          <w:szCs w:val="32"/>
        </w:rPr>
        <w:t>万元，支出决算为</w:t>
      </w:r>
      <w:r>
        <w:rPr>
          <w:rFonts w:hint="eastAsia" w:ascii="仿宋_GB2312" w:eastAsia="仿宋_GB2312"/>
          <w:sz w:val="32"/>
          <w:szCs w:val="32"/>
        </w:rPr>
        <w:t>22.42</w:t>
      </w:r>
      <w:r>
        <w:rPr>
          <w:rFonts w:ascii="仿宋_GB2312" w:eastAsia="仿宋_GB2312"/>
          <w:sz w:val="32"/>
          <w:szCs w:val="32"/>
        </w:rPr>
        <w:t>万元，完成年初预算的</w:t>
      </w:r>
      <w:r>
        <w:rPr>
          <w:rFonts w:hint="eastAsia" w:ascii="仿宋_GB2312" w:eastAsia="仿宋_GB2312"/>
          <w:sz w:val="32"/>
          <w:szCs w:val="32"/>
        </w:rPr>
        <w:t>114</w:t>
      </w:r>
      <w:r>
        <w:rPr>
          <w:rFonts w:ascii="仿宋_GB2312" w:eastAsia="仿宋_GB2312"/>
          <w:sz w:val="32"/>
          <w:szCs w:val="32"/>
        </w:rPr>
        <w:t>%。决算数</w:t>
      </w:r>
      <w:r>
        <w:rPr>
          <w:rFonts w:hint="eastAsia" w:ascii="仿宋_GB2312" w:eastAsia="仿宋_GB2312"/>
          <w:sz w:val="32"/>
          <w:szCs w:val="32"/>
        </w:rPr>
        <w:t>大（</w:t>
      </w:r>
      <w:r>
        <w:rPr>
          <w:rFonts w:ascii="仿宋_GB2312" w:eastAsia="仿宋_GB2312"/>
          <w:sz w:val="32"/>
          <w:szCs w:val="32"/>
        </w:rPr>
        <w:t>小</w:t>
      </w:r>
      <w:r>
        <w:rPr>
          <w:rFonts w:hint="eastAsia" w:ascii="仿宋_GB2312" w:eastAsia="仿宋_GB2312"/>
          <w:sz w:val="32"/>
          <w:szCs w:val="32"/>
        </w:rPr>
        <w:t>）</w:t>
      </w:r>
      <w:r>
        <w:rPr>
          <w:rFonts w:ascii="仿宋_GB2312" w:eastAsia="仿宋_GB2312"/>
          <w:sz w:val="32"/>
          <w:szCs w:val="32"/>
        </w:rPr>
        <w:t>于预算数的主要原因是</w:t>
      </w:r>
      <w:r>
        <w:rPr>
          <w:rFonts w:hint="eastAsia" w:ascii="仿宋_GB2312" w:eastAsia="仿宋_GB2312"/>
          <w:sz w:val="32"/>
          <w:szCs w:val="32"/>
        </w:rPr>
        <w:t>人员经费增加</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6、229其他支出</w:t>
      </w:r>
      <w:r>
        <w:rPr>
          <w:rFonts w:ascii="仿宋_GB2312" w:eastAsia="仿宋_GB2312"/>
          <w:sz w:val="32"/>
          <w:szCs w:val="32"/>
        </w:rPr>
        <w:t>（类）。年初预算为</w:t>
      </w:r>
      <w:r>
        <w:rPr>
          <w:rFonts w:hint="eastAsia" w:ascii="仿宋_GB2312" w:eastAsia="仿宋_GB2312"/>
          <w:sz w:val="32"/>
          <w:szCs w:val="32"/>
        </w:rPr>
        <w:t>0</w:t>
      </w:r>
      <w:r>
        <w:rPr>
          <w:rFonts w:ascii="仿宋_GB2312" w:eastAsia="仿宋_GB2312"/>
          <w:sz w:val="32"/>
          <w:szCs w:val="32"/>
        </w:rPr>
        <w:t>万元，支出决算为</w:t>
      </w:r>
      <w:r>
        <w:rPr>
          <w:rFonts w:hint="eastAsia" w:ascii="仿宋_GB2312" w:eastAsia="仿宋_GB2312"/>
          <w:sz w:val="32"/>
          <w:szCs w:val="32"/>
        </w:rPr>
        <w:t>11.82</w:t>
      </w:r>
      <w:r>
        <w:rPr>
          <w:rFonts w:ascii="仿宋_GB2312" w:eastAsia="仿宋_GB2312"/>
          <w:sz w:val="32"/>
          <w:szCs w:val="32"/>
        </w:rPr>
        <w:t>元，完成年初预算的</w:t>
      </w:r>
      <w:r>
        <w:rPr>
          <w:rFonts w:hint="eastAsia" w:ascii="仿宋_GB2312" w:eastAsia="仿宋_GB2312"/>
          <w:sz w:val="32"/>
          <w:szCs w:val="32"/>
        </w:rPr>
        <w:t>118</w:t>
      </w:r>
      <w:r>
        <w:rPr>
          <w:rFonts w:ascii="仿宋_GB2312" w:eastAsia="仿宋_GB2312"/>
          <w:sz w:val="32"/>
          <w:szCs w:val="32"/>
        </w:rPr>
        <w:t>%。决算数</w:t>
      </w:r>
      <w:r>
        <w:rPr>
          <w:rFonts w:hint="eastAsia" w:ascii="仿宋_GB2312" w:eastAsia="仿宋_GB2312"/>
          <w:sz w:val="32"/>
          <w:szCs w:val="32"/>
        </w:rPr>
        <w:t>大（</w:t>
      </w:r>
      <w:r>
        <w:rPr>
          <w:rFonts w:ascii="仿宋_GB2312" w:eastAsia="仿宋_GB2312"/>
          <w:sz w:val="32"/>
          <w:szCs w:val="32"/>
        </w:rPr>
        <w:t>小</w:t>
      </w:r>
      <w:r>
        <w:rPr>
          <w:rFonts w:hint="eastAsia" w:ascii="仿宋_GB2312" w:eastAsia="仿宋_GB2312"/>
          <w:sz w:val="32"/>
          <w:szCs w:val="32"/>
        </w:rPr>
        <w:t>）</w:t>
      </w:r>
      <w:r>
        <w:rPr>
          <w:rFonts w:ascii="仿宋_GB2312" w:eastAsia="仿宋_GB2312"/>
          <w:sz w:val="32"/>
          <w:szCs w:val="32"/>
        </w:rPr>
        <w:t>于预算数的主要原因是</w:t>
      </w:r>
      <w:r>
        <w:rPr>
          <w:rFonts w:hint="eastAsia" w:ascii="仿宋_GB2312" w:eastAsia="仿宋_GB2312"/>
          <w:sz w:val="32"/>
          <w:szCs w:val="32"/>
        </w:rPr>
        <w:t>年初未做预算</w:t>
      </w:r>
      <w:r>
        <w:rPr>
          <w:rFonts w:ascii="仿宋_GB2312" w:eastAsia="仿宋_GB2312"/>
          <w:sz w:val="32"/>
          <w:szCs w:val="32"/>
        </w:rPr>
        <w:t>。</w:t>
      </w:r>
    </w:p>
    <w:p>
      <w:pPr>
        <w:ind w:firstLine="640"/>
        <w:rPr>
          <w:rFonts w:ascii="仿宋_GB2312" w:eastAsia="仿宋_GB2312"/>
          <w:sz w:val="32"/>
          <w:szCs w:val="32"/>
        </w:rPr>
      </w:pPr>
      <w:r>
        <w:rPr>
          <w:rFonts w:hint="eastAsia" w:ascii="仿宋_GB2312" w:eastAsia="仿宋_GB2312"/>
          <w:b/>
          <w:sz w:val="32"/>
          <w:szCs w:val="32"/>
        </w:rPr>
        <w:t>六、关于</w:t>
      </w:r>
      <w:r>
        <w:rPr>
          <w:rFonts w:hint="eastAsia" w:ascii="仿宋_GB2312" w:eastAsia="仿宋_GB2312"/>
          <w:b/>
          <w:sz w:val="32"/>
          <w:szCs w:val="32"/>
          <w:lang w:eastAsia="zh-CN"/>
        </w:rPr>
        <w:t>贵德县新街</w:t>
      </w:r>
      <w:r>
        <w:rPr>
          <w:rFonts w:hint="eastAsia" w:ascii="仿宋_GB2312" w:eastAsia="仿宋_GB2312"/>
          <w:b/>
          <w:sz w:val="32"/>
          <w:szCs w:val="32"/>
        </w:rPr>
        <w:t>回族乡人民政府2016年度</w:t>
      </w:r>
      <w:r>
        <w:rPr>
          <w:rFonts w:ascii="仿宋_GB2312" w:eastAsia="仿宋_GB2312"/>
          <w:b/>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2016年度财政拨款基本支出</w:t>
      </w:r>
      <w:r>
        <w:rPr>
          <w:rFonts w:hint="eastAsia" w:ascii="仿宋_GB2312" w:eastAsia="仿宋_GB2312"/>
          <w:sz w:val="32"/>
          <w:szCs w:val="32"/>
        </w:rPr>
        <w:t>478.3</w:t>
      </w:r>
      <w:r>
        <w:rPr>
          <w:rFonts w:ascii="仿宋_GB2312" w:eastAsia="仿宋_GB2312"/>
          <w:sz w:val="32"/>
          <w:szCs w:val="32"/>
        </w:rPr>
        <w:t>万元，其中：人员经费</w:t>
      </w:r>
      <w:r>
        <w:rPr>
          <w:rFonts w:hint="eastAsia" w:ascii="仿宋_GB2312" w:eastAsia="仿宋_GB2312"/>
          <w:sz w:val="32"/>
          <w:szCs w:val="32"/>
        </w:rPr>
        <w:t>348.70</w:t>
      </w:r>
      <w:r>
        <w:rPr>
          <w:rFonts w:ascii="仿宋_GB2312" w:eastAsia="仿宋_GB2312"/>
          <w:sz w:val="32"/>
          <w:szCs w:val="32"/>
        </w:rPr>
        <w:t>万元，主要包括：基本工资、津贴补贴、奖金、社会保障缴费、伙食补助费、绩效工资、机关事业单位基本养老保险缴费、职业年金缴费、其他工资福利支出、离休费、退休费、抚恤金、生活补助、医疗费、助学金、奖励金、住房公积金、提租补贴、购房补贴、其他对个人和家庭的补助支出；日常公用经费</w:t>
      </w:r>
      <w:r>
        <w:rPr>
          <w:rFonts w:hint="eastAsia" w:ascii="仿宋_GB2312" w:eastAsia="仿宋_GB2312"/>
          <w:sz w:val="32"/>
          <w:szCs w:val="32"/>
        </w:rPr>
        <w:t>129.61</w:t>
      </w:r>
      <w:r>
        <w:rPr>
          <w:rFonts w:ascii="仿宋_GB2312" w:eastAsia="仿宋_GB2312"/>
          <w:sz w:val="32"/>
          <w:szCs w:val="32"/>
        </w:rPr>
        <w:t>万元，主要包括：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费用、其他商品和服务支出、国内债务付息、办公设备购置、专用设备购置、信息网络及软件购置更新、其他交通工具购置、其他资本性支出。</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b/>
          <w:sz w:val="32"/>
          <w:szCs w:val="32"/>
        </w:rPr>
      </w:pPr>
      <w:r>
        <w:rPr>
          <w:rFonts w:hint="eastAsia" w:ascii="仿宋_GB2312" w:eastAsia="仿宋_GB2312"/>
          <w:b/>
          <w:sz w:val="32"/>
          <w:szCs w:val="32"/>
        </w:rPr>
        <w:t>七、</w:t>
      </w:r>
      <w:r>
        <w:rPr>
          <w:rFonts w:ascii="仿宋_GB2312" w:eastAsia="仿宋_GB2312"/>
          <w:b/>
          <w:sz w:val="32"/>
          <w:szCs w:val="32"/>
        </w:rPr>
        <w:t>一般公共预算财政拨款“三公”经费支出情况说明</w:t>
      </w:r>
    </w:p>
    <w:p>
      <w:pPr>
        <w:ind w:firstLine="640"/>
        <w:rPr>
          <w:rFonts w:ascii="仿宋_GB2312" w:eastAsia="仿宋_GB2312"/>
          <w:b/>
          <w:sz w:val="32"/>
          <w:szCs w:val="32"/>
        </w:rPr>
      </w:pPr>
      <w:r>
        <w:rPr>
          <w:rFonts w:ascii="仿宋_GB2312" w:eastAsia="仿宋_GB2312"/>
          <w:b/>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2016年度“三公”经费财政拨款支出预算为</w:t>
      </w:r>
      <w:r>
        <w:rPr>
          <w:rFonts w:hint="eastAsia" w:ascii="仿宋_GB2312" w:eastAsia="仿宋_GB2312"/>
          <w:sz w:val="32"/>
          <w:szCs w:val="32"/>
        </w:rPr>
        <w:t>9.55</w:t>
      </w:r>
      <w:r>
        <w:rPr>
          <w:rFonts w:ascii="仿宋_GB2312" w:eastAsia="仿宋_GB2312"/>
          <w:sz w:val="32"/>
          <w:szCs w:val="32"/>
        </w:rPr>
        <w:t>万元，其中：因公出国（境）费预算</w:t>
      </w:r>
      <w:r>
        <w:rPr>
          <w:rFonts w:hint="eastAsia" w:ascii="仿宋_GB2312" w:eastAsia="仿宋_GB2312"/>
          <w:sz w:val="32"/>
          <w:szCs w:val="32"/>
        </w:rPr>
        <w:t>0</w:t>
      </w:r>
      <w:r>
        <w:rPr>
          <w:rFonts w:ascii="仿宋_GB2312" w:eastAsia="仿宋_GB2312"/>
          <w:sz w:val="32"/>
          <w:szCs w:val="32"/>
        </w:rPr>
        <w:t>万元，公务用车购置及运行费预算</w:t>
      </w:r>
      <w:r>
        <w:rPr>
          <w:rFonts w:hint="eastAsia" w:ascii="仿宋_GB2312" w:eastAsia="仿宋_GB2312"/>
          <w:sz w:val="32"/>
          <w:szCs w:val="32"/>
        </w:rPr>
        <w:t>5.67</w:t>
      </w:r>
      <w:r>
        <w:rPr>
          <w:rFonts w:ascii="仿宋_GB2312" w:eastAsia="仿宋_GB2312"/>
          <w:sz w:val="32"/>
          <w:szCs w:val="32"/>
        </w:rPr>
        <w:t>万元，公务接待费预算</w:t>
      </w:r>
      <w:r>
        <w:rPr>
          <w:rFonts w:hint="eastAsia" w:ascii="仿宋_GB2312" w:eastAsia="仿宋_GB2312"/>
          <w:sz w:val="32"/>
          <w:szCs w:val="32"/>
        </w:rPr>
        <w:t>3.88</w:t>
      </w:r>
      <w:r>
        <w:rPr>
          <w:rFonts w:ascii="仿宋_GB2312" w:eastAsia="仿宋_GB2312"/>
          <w:sz w:val="32"/>
          <w:szCs w:val="32"/>
        </w:rPr>
        <w:t>万元。支出决算为</w:t>
      </w:r>
      <w:r>
        <w:rPr>
          <w:rFonts w:hint="eastAsia" w:ascii="仿宋_GB2312" w:eastAsia="仿宋_GB2312"/>
          <w:sz w:val="32"/>
          <w:szCs w:val="32"/>
        </w:rPr>
        <w:t>7.8</w:t>
      </w:r>
      <w:r>
        <w:rPr>
          <w:rFonts w:ascii="仿宋_GB2312" w:eastAsia="仿宋_GB2312"/>
          <w:sz w:val="32"/>
          <w:szCs w:val="32"/>
        </w:rPr>
        <w:t>万元，完成预算</w:t>
      </w:r>
      <w:r>
        <w:rPr>
          <w:rFonts w:hint="eastAsia" w:ascii="仿宋_GB2312" w:eastAsia="仿宋_GB2312"/>
          <w:sz w:val="32"/>
          <w:szCs w:val="32"/>
        </w:rPr>
        <w:t>的82</w:t>
      </w:r>
      <w:r>
        <w:rPr>
          <w:rFonts w:ascii="仿宋_GB2312" w:eastAsia="仿宋_GB2312"/>
          <w:sz w:val="32"/>
          <w:szCs w:val="32"/>
        </w:rPr>
        <w:t>%，其中：因公出国（境）费支出决算为</w:t>
      </w:r>
      <w:r>
        <w:rPr>
          <w:rFonts w:hint="eastAsia" w:ascii="仿宋_GB2312" w:eastAsia="仿宋_GB2312"/>
          <w:sz w:val="32"/>
          <w:szCs w:val="32"/>
        </w:rPr>
        <w:t>0</w:t>
      </w:r>
      <w:r>
        <w:rPr>
          <w:rFonts w:ascii="仿宋_GB2312" w:eastAsia="仿宋_GB2312"/>
          <w:sz w:val="32"/>
          <w:szCs w:val="32"/>
        </w:rPr>
        <w:t>万元，完成预算的</w:t>
      </w:r>
      <w:r>
        <w:rPr>
          <w:rFonts w:hint="eastAsia" w:ascii="仿宋_GB2312" w:eastAsia="仿宋_GB2312"/>
          <w:sz w:val="32"/>
          <w:szCs w:val="32"/>
        </w:rPr>
        <w:t>0</w:t>
      </w:r>
      <w:r>
        <w:rPr>
          <w:rFonts w:ascii="仿宋_GB2312" w:eastAsia="仿宋_GB2312"/>
          <w:sz w:val="32"/>
          <w:szCs w:val="32"/>
        </w:rPr>
        <w:t>；公务用车运行费支出决算为</w:t>
      </w:r>
      <w:r>
        <w:rPr>
          <w:rFonts w:hint="eastAsia" w:ascii="仿宋_GB2312" w:eastAsia="仿宋_GB2312"/>
          <w:sz w:val="32"/>
          <w:szCs w:val="32"/>
        </w:rPr>
        <w:t>5.1</w:t>
      </w:r>
      <w:r>
        <w:rPr>
          <w:rFonts w:ascii="仿宋_GB2312" w:eastAsia="仿宋_GB2312"/>
          <w:sz w:val="32"/>
          <w:szCs w:val="32"/>
        </w:rPr>
        <w:t>万元，完成预算的</w:t>
      </w:r>
      <w:r>
        <w:rPr>
          <w:rFonts w:hint="eastAsia" w:ascii="仿宋_GB2312" w:eastAsia="仿宋_GB2312"/>
          <w:sz w:val="32"/>
          <w:szCs w:val="32"/>
        </w:rPr>
        <w:t>54%</w:t>
      </w:r>
      <w:r>
        <w:rPr>
          <w:rFonts w:ascii="仿宋_GB2312" w:eastAsia="仿宋_GB2312"/>
          <w:sz w:val="32"/>
          <w:szCs w:val="32"/>
        </w:rPr>
        <w:t>；公务接待费支出决算为</w:t>
      </w:r>
      <w:r>
        <w:rPr>
          <w:rFonts w:hint="eastAsia" w:ascii="仿宋_GB2312" w:eastAsia="仿宋_GB2312"/>
          <w:sz w:val="32"/>
          <w:szCs w:val="32"/>
        </w:rPr>
        <w:t>2.7</w:t>
      </w:r>
      <w:r>
        <w:rPr>
          <w:rFonts w:ascii="仿宋_GB2312" w:eastAsia="仿宋_GB2312"/>
          <w:sz w:val="32"/>
          <w:szCs w:val="32"/>
        </w:rPr>
        <w:t>万元，完成预算</w:t>
      </w:r>
      <w:r>
        <w:rPr>
          <w:rFonts w:hint="eastAsia" w:ascii="仿宋_GB2312" w:eastAsia="仿宋_GB2312"/>
          <w:sz w:val="32"/>
          <w:szCs w:val="32"/>
        </w:rPr>
        <w:t>28</w:t>
      </w:r>
      <w:r>
        <w:rPr>
          <w:rFonts w:ascii="仿宋_GB2312" w:eastAsia="仿宋_GB2312"/>
          <w:sz w:val="32"/>
          <w:szCs w:val="32"/>
        </w:rPr>
        <w:t>%。</w:t>
      </w:r>
    </w:p>
    <w:p>
      <w:pPr>
        <w:ind w:firstLine="640"/>
        <w:rPr>
          <w:rFonts w:ascii="仿宋_GB2312" w:eastAsia="仿宋_GB2312"/>
          <w:b/>
          <w:sz w:val="32"/>
          <w:szCs w:val="32"/>
        </w:rPr>
      </w:pPr>
      <w:r>
        <w:rPr>
          <w:rFonts w:ascii="仿宋_GB2312" w:eastAsia="仿宋_GB2312"/>
          <w:b/>
          <w:sz w:val="32"/>
          <w:szCs w:val="32"/>
        </w:rPr>
        <w:t>（二）“三公”经费财政拨款支出决算情况说明</w:t>
      </w:r>
    </w:p>
    <w:p>
      <w:pPr>
        <w:ind w:firstLine="640"/>
        <w:rPr>
          <w:rFonts w:ascii="仿宋_GB2312" w:eastAsia="仿宋_GB2312"/>
          <w:sz w:val="32"/>
          <w:szCs w:val="32"/>
        </w:rPr>
      </w:pPr>
      <w:r>
        <w:rPr>
          <w:rFonts w:ascii="仿宋_GB2312" w:eastAsia="仿宋_GB2312"/>
          <w:sz w:val="32"/>
          <w:szCs w:val="32"/>
        </w:rPr>
        <w:t>2016年度“三公”经费财政拨款支出决算中，因公出国（境）费支出决算</w:t>
      </w:r>
      <w:r>
        <w:rPr>
          <w:rFonts w:hint="eastAsia" w:ascii="仿宋_GB2312" w:eastAsia="仿宋_GB2312"/>
          <w:sz w:val="32"/>
          <w:szCs w:val="32"/>
        </w:rPr>
        <w:t>0</w:t>
      </w:r>
      <w:r>
        <w:rPr>
          <w:rFonts w:ascii="仿宋_GB2312" w:eastAsia="仿宋_GB2312"/>
          <w:sz w:val="32"/>
          <w:szCs w:val="32"/>
        </w:rPr>
        <w:t>万元，占</w:t>
      </w:r>
      <w:r>
        <w:rPr>
          <w:rFonts w:hint="eastAsia" w:ascii="仿宋_GB2312" w:eastAsia="仿宋_GB2312"/>
          <w:sz w:val="32"/>
          <w:szCs w:val="32"/>
        </w:rPr>
        <w:t>***</w:t>
      </w:r>
      <w:r>
        <w:rPr>
          <w:rFonts w:ascii="仿宋_GB2312" w:eastAsia="仿宋_GB2312"/>
          <w:sz w:val="32"/>
          <w:szCs w:val="32"/>
        </w:rPr>
        <w:t>%；公务用车购置及运行费支出决算</w:t>
      </w:r>
      <w:r>
        <w:rPr>
          <w:rFonts w:hint="eastAsia" w:ascii="仿宋_GB2312" w:eastAsia="仿宋_GB2312"/>
          <w:sz w:val="32"/>
          <w:szCs w:val="32"/>
        </w:rPr>
        <w:t>5.1</w:t>
      </w:r>
      <w:r>
        <w:rPr>
          <w:rFonts w:ascii="仿宋_GB2312" w:eastAsia="仿宋_GB2312"/>
          <w:sz w:val="32"/>
          <w:szCs w:val="32"/>
        </w:rPr>
        <w:t>万元，占</w:t>
      </w:r>
      <w:r>
        <w:rPr>
          <w:rFonts w:hint="eastAsia" w:ascii="仿宋_GB2312" w:eastAsia="仿宋_GB2312"/>
          <w:sz w:val="32"/>
          <w:szCs w:val="32"/>
        </w:rPr>
        <w:t>65</w:t>
      </w:r>
      <w:r>
        <w:rPr>
          <w:rFonts w:ascii="仿宋_GB2312" w:eastAsia="仿宋_GB2312"/>
          <w:sz w:val="32"/>
          <w:szCs w:val="32"/>
        </w:rPr>
        <w:t>%；公务接待费支出决算</w:t>
      </w:r>
      <w:r>
        <w:rPr>
          <w:rFonts w:hint="eastAsia" w:ascii="仿宋_GB2312" w:eastAsia="仿宋_GB2312"/>
          <w:sz w:val="32"/>
          <w:szCs w:val="32"/>
        </w:rPr>
        <w:t>2.7</w:t>
      </w:r>
      <w:r>
        <w:rPr>
          <w:rFonts w:ascii="仿宋_GB2312" w:eastAsia="仿宋_GB2312"/>
          <w:sz w:val="32"/>
          <w:szCs w:val="32"/>
        </w:rPr>
        <w:t>万元，占</w:t>
      </w:r>
      <w:r>
        <w:rPr>
          <w:rFonts w:hint="eastAsia" w:ascii="仿宋_GB2312" w:eastAsia="仿宋_GB2312"/>
          <w:sz w:val="32"/>
          <w:szCs w:val="32"/>
        </w:rPr>
        <w:t>35</w:t>
      </w:r>
      <w:r>
        <w:rPr>
          <w:rFonts w:ascii="仿宋_GB2312" w:eastAsia="仿宋_GB2312"/>
          <w:sz w:val="32"/>
          <w:szCs w:val="32"/>
        </w:rPr>
        <w:t>%。具体情况如下：</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因公出国（境）费支出</w:t>
      </w:r>
      <w:r>
        <w:rPr>
          <w:rFonts w:hint="eastAsia" w:ascii="仿宋_GB2312" w:eastAsia="仿宋_GB2312"/>
          <w:sz w:val="32"/>
          <w:szCs w:val="32"/>
        </w:rPr>
        <w:t>0</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公务用车购置及运行费支出</w:t>
      </w:r>
      <w:r>
        <w:rPr>
          <w:rFonts w:hint="eastAsia" w:ascii="仿宋_GB2312" w:eastAsia="仿宋_GB2312"/>
          <w:sz w:val="32"/>
          <w:szCs w:val="32"/>
        </w:rPr>
        <w:t>5.1</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公务用车购置支出</w:t>
      </w:r>
      <w:r>
        <w:rPr>
          <w:rFonts w:hint="eastAsia" w:ascii="仿宋_GB2312" w:eastAsia="仿宋_GB2312"/>
          <w:sz w:val="32"/>
          <w:szCs w:val="32"/>
        </w:rPr>
        <w:t>0万元，购置公务用车0辆；</w:t>
      </w:r>
      <w:r>
        <w:rPr>
          <w:rFonts w:ascii="仿宋_GB2312" w:eastAsia="仿宋_GB2312"/>
          <w:sz w:val="32"/>
          <w:szCs w:val="32"/>
        </w:rPr>
        <w:t>公务用车运行费支出</w:t>
      </w:r>
      <w:r>
        <w:rPr>
          <w:rFonts w:hint="eastAsia" w:ascii="仿宋_GB2312" w:eastAsia="仿宋_GB2312"/>
          <w:sz w:val="32"/>
          <w:szCs w:val="32"/>
        </w:rPr>
        <w:t>5.1</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公务用车保有量为</w:t>
      </w:r>
      <w:r>
        <w:rPr>
          <w:rFonts w:hint="eastAsia" w:ascii="仿宋_GB2312" w:eastAsia="仿宋_GB2312"/>
          <w:sz w:val="32"/>
          <w:szCs w:val="32"/>
        </w:rPr>
        <w:t>2</w:t>
      </w:r>
      <w:r>
        <w:rPr>
          <w:rFonts w:ascii="仿宋_GB2312" w:eastAsia="仿宋_GB2312"/>
          <w:sz w:val="32"/>
          <w:szCs w:val="32"/>
        </w:rPr>
        <w:t>辆。</w:t>
      </w:r>
    </w:p>
    <w:p>
      <w:pPr>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公务接待费支出</w:t>
      </w:r>
      <w:r>
        <w:rPr>
          <w:rFonts w:hint="eastAsia" w:ascii="仿宋_GB2312" w:eastAsia="仿宋_GB2312"/>
          <w:sz w:val="32"/>
          <w:szCs w:val="32"/>
        </w:rPr>
        <w:t>2.7</w:t>
      </w:r>
      <w:r>
        <w:rPr>
          <w:rFonts w:ascii="仿宋_GB2312" w:eastAsia="仿宋_GB2312"/>
          <w:sz w:val="32"/>
          <w:szCs w:val="32"/>
        </w:rPr>
        <w:t>万元。</w:t>
      </w:r>
      <w:r>
        <w:rPr>
          <w:rFonts w:hint="eastAsia" w:ascii="仿宋_GB2312" w:eastAsia="仿宋_GB2312"/>
          <w:sz w:val="32"/>
          <w:szCs w:val="32"/>
        </w:rPr>
        <w:t>其中：</w:t>
      </w:r>
      <w:r>
        <w:rPr>
          <w:rFonts w:ascii="仿宋_GB2312" w:eastAsia="仿宋_GB2312"/>
          <w:sz w:val="32"/>
          <w:szCs w:val="32"/>
        </w:rPr>
        <w:t>外事接待支出</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国内公务接待支出</w:t>
      </w:r>
      <w:r>
        <w:rPr>
          <w:rFonts w:hint="eastAsia" w:ascii="仿宋_GB2312" w:eastAsia="仿宋_GB2312"/>
          <w:sz w:val="32"/>
          <w:szCs w:val="32"/>
        </w:rPr>
        <w:t>2.7</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接待</w:t>
      </w:r>
      <w:r>
        <w:rPr>
          <w:rFonts w:hint="eastAsia" w:ascii="仿宋_GB2312" w:eastAsia="仿宋_GB2312"/>
          <w:sz w:val="32"/>
          <w:szCs w:val="32"/>
        </w:rPr>
        <w:t>40</w:t>
      </w:r>
      <w:r>
        <w:rPr>
          <w:rFonts w:ascii="仿宋_GB2312" w:eastAsia="仿宋_GB2312"/>
          <w:sz w:val="32"/>
          <w:szCs w:val="32"/>
        </w:rPr>
        <w:t>批次，</w:t>
      </w:r>
      <w:r>
        <w:rPr>
          <w:rFonts w:hint="eastAsia" w:ascii="仿宋_GB2312" w:eastAsia="仿宋_GB2312"/>
          <w:sz w:val="32"/>
          <w:szCs w:val="32"/>
        </w:rPr>
        <w:t>接待225</w:t>
      </w:r>
      <w:r>
        <w:rPr>
          <w:rFonts w:ascii="仿宋_GB2312" w:eastAsia="仿宋_GB2312"/>
          <w:sz w:val="32"/>
          <w:szCs w:val="32"/>
        </w:rPr>
        <w:t>人次。</w:t>
      </w:r>
    </w:p>
    <w:p>
      <w:pPr>
        <w:ind w:firstLine="640"/>
        <w:rPr>
          <w:rFonts w:ascii="仿宋_GB2312" w:eastAsia="仿宋_GB2312"/>
          <w:b/>
          <w:sz w:val="32"/>
          <w:szCs w:val="32"/>
        </w:rPr>
      </w:pPr>
      <w:r>
        <w:rPr>
          <w:rFonts w:ascii="仿宋_GB2312" w:eastAsia="仿宋_GB2312"/>
          <w:b/>
          <w:sz w:val="32"/>
          <w:szCs w:val="32"/>
        </w:rPr>
        <w:t>（三）“三公”经费与上年执行情况差异说明</w:t>
      </w:r>
    </w:p>
    <w:p>
      <w:pPr>
        <w:ind w:firstLine="640"/>
        <w:rPr>
          <w:rFonts w:ascii="仿宋_GB2312" w:eastAsia="仿宋_GB2312"/>
          <w:sz w:val="32"/>
          <w:szCs w:val="32"/>
        </w:rPr>
      </w:pPr>
      <w:r>
        <w:rPr>
          <w:rFonts w:ascii="仿宋_GB2312" w:eastAsia="仿宋_GB2312"/>
          <w:sz w:val="32"/>
          <w:szCs w:val="32"/>
        </w:rPr>
        <w:t>2016年度“三公”经费支出决算数比上年决算数减少</w:t>
      </w:r>
      <w:r>
        <w:rPr>
          <w:rFonts w:hint="eastAsia" w:ascii="仿宋_GB2312" w:eastAsia="仿宋_GB2312"/>
          <w:sz w:val="32"/>
          <w:szCs w:val="32"/>
        </w:rPr>
        <w:t>0.6</w:t>
      </w:r>
      <w:r>
        <w:rPr>
          <w:rFonts w:ascii="仿宋_GB2312" w:eastAsia="仿宋_GB2312"/>
          <w:sz w:val="32"/>
          <w:szCs w:val="32"/>
        </w:rPr>
        <w:t>万元，其中：因公出国（境）支出决算数比上年数减少</w:t>
      </w:r>
      <w:r>
        <w:rPr>
          <w:rFonts w:hint="eastAsia" w:ascii="仿宋_GB2312" w:eastAsia="仿宋_GB2312"/>
          <w:sz w:val="32"/>
          <w:szCs w:val="32"/>
        </w:rPr>
        <w:t>0</w:t>
      </w:r>
      <w:r>
        <w:rPr>
          <w:rFonts w:ascii="仿宋_GB2312" w:eastAsia="仿宋_GB2312"/>
          <w:sz w:val="32"/>
          <w:szCs w:val="32"/>
        </w:rPr>
        <w:t>万元，公务用车购置及运行维护费支出决算数比上年数减少</w:t>
      </w:r>
      <w:r>
        <w:rPr>
          <w:rFonts w:hint="eastAsia" w:ascii="仿宋_GB2312" w:eastAsia="仿宋_GB2312"/>
          <w:sz w:val="32"/>
          <w:szCs w:val="32"/>
        </w:rPr>
        <w:t>0.2</w:t>
      </w:r>
      <w:r>
        <w:rPr>
          <w:rFonts w:ascii="仿宋_GB2312" w:eastAsia="仿宋_GB2312"/>
          <w:sz w:val="32"/>
          <w:szCs w:val="32"/>
        </w:rPr>
        <w:t>万元，公务接待费支出决算数比上年数减少</w:t>
      </w:r>
      <w:r>
        <w:rPr>
          <w:rFonts w:hint="eastAsia" w:ascii="仿宋_GB2312" w:eastAsia="仿宋_GB2312"/>
          <w:sz w:val="32"/>
          <w:szCs w:val="32"/>
        </w:rPr>
        <w:t>0.4</w:t>
      </w:r>
      <w:r>
        <w:rPr>
          <w:rFonts w:ascii="仿宋_GB2312" w:eastAsia="仿宋_GB2312"/>
          <w:sz w:val="32"/>
          <w:szCs w:val="32"/>
        </w:rPr>
        <w:t>万元，主要原因是</w:t>
      </w:r>
      <w:r>
        <w:rPr>
          <w:rFonts w:hint="eastAsia" w:ascii="仿宋_GB2312" w:eastAsia="仿宋_GB2312"/>
          <w:sz w:val="32"/>
          <w:szCs w:val="32"/>
        </w:rPr>
        <w:t>：公务接待次数减少。</w:t>
      </w:r>
    </w:p>
    <w:p>
      <w:pPr>
        <w:ind w:firstLine="640"/>
        <w:rPr>
          <w:rFonts w:ascii="仿宋_GB2312" w:eastAsia="仿宋_GB2312"/>
          <w:b/>
          <w:sz w:val="32"/>
          <w:szCs w:val="32"/>
        </w:rPr>
      </w:pPr>
      <w:r>
        <w:rPr>
          <w:rFonts w:hint="eastAsia" w:ascii="仿宋_GB2312" w:eastAsia="仿宋_GB2312"/>
          <w:b/>
          <w:sz w:val="32"/>
          <w:szCs w:val="32"/>
        </w:rPr>
        <w:t>八</w:t>
      </w:r>
      <w:r>
        <w:rPr>
          <w:rFonts w:ascii="仿宋_GB2312" w:eastAsia="仿宋_GB2312"/>
          <w:b/>
          <w:sz w:val="32"/>
          <w:szCs w:val="32"/>
        </w:rPr>
        <w:t>、关于</w:t>
      </w:r>
      <w:r>
        <w:rPr>
          <w:rFonts w:hint="eastAsia" w:ascii="仿宋_GB2312" w:eastAsia="仿宋_GB2312"/>
          <w:b/>
          <w:sz w:val="32"/>
          <w:szCs w:val="32"/>
        </w:rPr>
        <w:t>XXX</w:t>
      </w:r>
      <w:r>
        <w:rPr>
          <w:rFonts w:hint="eastAsia" w:ascii="仿宋_GB2312" w:hAnsi="仿宋" w:eastAsia="仿宋_GB2312"/>
          <w:b/>
          <w:sz w:val="32"/>
          <w:szCs w:val="32"/>
        </w:rPr>
        <w:t>项目支出绩效目标完成情况</w:t>
      </w:r>
      <w:r>
        <w:rPr>
          <w:rFonts w:ascii="仿宋_GB2312" w:eastAsia="仿宋_GB2312"/>
          <w:b/>
          <w:sz w:val="32"/>
          <w:szCs w:val="32"/>
        </w:rPr>
        <w:t>说明</w:t>
      </w:r>
    </w:p>
    <w:p>
      <w:pPr>
        <w:ind w:firstLine="640"/>
        <w:rPr>
          <w:rFonts w:ascii="仿宋_GB2312" w:eastAsia="仿宋_GB2312"/>
          <w:b/>
          <w:sz w:val="32"/>
          <w:szCs w:val="32"/>
        </w:rPr>
      </w:pPr>
      <w:r>
        <w:rPr>
          <w:rFonts w:hint="eastAsia" w:ascii="仿宋_GB2312" w:eastAsia="仿宋_GB2312"/>
          <w:b/>
          <w:sz w:val="32"/>
          <w:szCs w:val="32"/>
        </w:rPr>
        <w:t>九</w:t>
      </w:r>
      <w:r>
        <w:rPr>
          <w:rFonts w:ascii="仿宋_GB2312" w:eastAsia="仿宋_GB2312"/>
          <w:b/>
          <w:sz w:val="32"/>
          <w:szCs w:val="32"/>
        </w:rPr>
        <w:t>、其他重要事项的情况说明</w:t>
      </w:r>
    </w:p>
    <w:p>
      <w:pPr>
        <w:ind w:firstLine="640"/>
        <w:rPr>
          <w:rFonts w:ascii="仿宋_GB2312" w:eastAsia="仿宋_GB2312"/>
          <w:sz w:val="32"/>
          <w:szCs w:val="32"/>
        </w:rPr>
      </w:pPr>
      <w:r>
        <w:rPr>
          <w:rFonts w:ascii="仿宋_GB2312" w:eastAsia="仿宋_GB2312"/>
          <w:sz w:val="32"/>
          <w:szCs w:val="32"/>
        </w:rPr>
        <w:t>（一）机关运行经费支出情况。</w:t>
      </w:r>
      <w:r>
        <w:rPr>
          <w:rFonts w:hint="eastAsia" w:ascii="仿宋_GB2312" w:eastAsia="仿宋_GB2312"/>
          <w:sz w:val="32"/>
          <w:szCs w:val="32"/>
          <w:lang w:eastAsia="zh-CN"/>
        </w:rPr>
        <w:t>贵德县新街</w:t>
      </w:r>
      <w:r>
        <w:rPr>
          <w:rFonts w:hint="eastAsia" w:ascii="仿宋_GB2312" w:eastAsia="仿宋_GB2312"/>
          <w:sz w:val="32"/>
          <w:szCs w:val="32"/>
        </w:rPr>
        <w:t>乡人民政府支出57.29万元，</w:t>
      </w:r>
      <w:r>
        <w:rPr>
          <w:rFonts w:ascii="仿宋_GB2312" w:eastAsia="仿宋_GB2312"/>
          <w:sz w:val="32"/>
          <w:szCs w:val="32"/>
        </w:rPr>
        <w:t>占</w:t>
      </w: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2016年度机关运行经费支出</w:t>
      </w:r>
      <w:r>
        <w:rPr>
          <w:rFonts w:hint="eastAsia" w:ascii="仿宋_GB2312" w:eastAsia="仿宋_GB2312"/>
          <w:sz w:val="32"/>
          <w:szCs w:val="32"/>
        </w:rPr>
        <w:t>57.29</w:t>
      </w:r>
      <w:r>
        <w:rPr>
          <w:rFonts w:ascii="仿宋_GB2312" w:eastAsia="仿宋_GB2312"/>
          <w:sz w:val="32"/>
          <w:szCs w:val="32"/>
        </w:rPr>
        <w:t>万元，2015年度机关运行经费支出</w:t>
      </w:r>
      <w:r>
        <w:rPr>
          <w:rFonts w:hint="eastAsia" w:ascii="仿宋_GB2312" w:eastAsia="仿宋_GB2312"/>
          <w:sz w:val="32"/>
          <w:szCs w:val="32"/>
        </w:rPr>
        <w:t>50.64</w:t>
      </w:r>
      <w:r>
        <w:rPr>
          <w:rFonts w:ascii="仿宋_GB2312" w:eastAsia="仿宋_GB2312"/>
          <w:sz w:val="32"/>
          <w:szCs w:val="32"/>
        </w:rPr>
        <w:t>万元，机关运行经费</w:t>
      </w:r>
      <w:r>
        <w:rPr>
          <w:rFonts w:hint="eastAsia" w:ascii="仿宋_GB2312" w:eastAsia="仿宋_GB2312"/>
          <w:sz w:val="32"/>
          <w:szCs w:val="32"/>
        </w:rPr>
        <w:t>增（减）</w:t>
      </w:r>
      <w:r>
        <w:rPr>
          <w:rFonts w:ascii="仿宋_GB2312" w:eastAsia="仿宋_GB2312"/>
          <w:sz w:val="32"/>
          <w:szCs w:val="32"/>
        </w:rPr>
        <w:t>的主要原因是</w:t>
      </w:r>
      <w:r>
        <w:rPr>
          <w:rFonts w:hint="eastAsia" w:ascii="仿宋_GB2312" w:eastAsia="仿宋_GB2312"/>
          <w:sz w:val="32"/>
          <w:szCs w:val="32"/>
        </w:rPr>
        <w:t>人员经费增加。（经费）</w:t>
      </w:r>
    </w:p>
    <w:p>
      <w:pPr>
        <w:ind w:firstLine="640"/>
        <w:rPr>
          <w:rFonts w:ascii="仿宋_GB2312" w:eastAsia="仿宋_GB2312"/>
          <w:sz w:val="32"/>
          <w:szCs w:val="32"/>
        </w:rPr>
      </w:pPr>
      <w:r>
        <w:rPr>
          <w:rFonts w:ascii="仿宋_GB2312" w:eastAsia="仿宋_GB2312"/>
          <w:sz w:val="32"/>
          <w:szCs w:val="32"/>
        </w:rPr>
        <w:t>（二）政府采购情况。2016年本部门政府采购支出总额</w:t>
      </w:r>
      <w:r>
        <w:rPr>
          <w:rFonts w:hint="eastAsia" w:ascii="仿宋_GB2312" w:eastAsia="仿宋_GB2312"/>
          <w:sz w:val="32"/>
          <w:szCs w:val="32"/>
        </w:rPr>
        <w:t>18.43</w:t>
      </w:r>
      <w:r>
        <w:rPr>
          <w:rFonts w:ascii="仿宋_GB2312" w:eastAsia="仿宋_GB2312"/>
          <w:sz w:val="32"/>
          <w:szCs w:val="32"/>
        </w:rPr>
        <w:t>万元，其中：政府采购货物支出</w:t>
      </w:r>
      <w:r>
        <w:rPr>
          <w:rFonts w:hint="eastAsia" w:ascii="仿宋_GB2312" w:eastAsia="仿宋_GB2312"/>
          <w:sz w:val="32"/>
          <w:szCs w:val="32"/>
        </w:rPr>
        <w:t>18.43</w:t>
      </w:r>
      <w:r>
        <w:rPr>
          <w:rFonts w:ascii="仿宋_GB2312" w:eastAsia="仿宋_GB2312"/>
          <w:sz w:val="32"/>
          <w:szCs w:val="32"/>
        </w:rPr>
        <w:t>万元、政府采购工程支出</w:t>
      </w:r>
      <w:r>
        <w:rPr>
          <w:rFonts w:hint="eastAsia" w:ascii="仿宋_GB2312" w:eastAsia="仿宋_GB2312"/>
          <w:sz w:val="32"/>
          <w:szCs w:val="32"/>
        </w:rPr>
        <w:t>0</w:t>
      </w:r>
      <w:r>
        <w:rPr>
          <w:rFonts w:ascii="仿宋_GB2312" w:eastAsia="仿宋_GB2312"/>
          <w:sz w:val="32"/>
          <w:szCs w:val="32"/>
        </w:rPr>
        <w:t>万元、政府采购服务支出</w:t>
      </w:r>
      <w:r>
        <w:rPr>
          <w:rFonts w:hint="eastAsia" w:ascii="仿宋_GB2312" w:eastAsia="仿宋_GB2312"/>
          <w:sz w:val="32"/>
          <w:szCs w:val="32"/>
        </w:rPr>
        <w:t>0</w:t>
      </w:r>
      <w:r>
        <w:rPr>
          <w:rFonts w:ascii="仿宋_GB2312" w:eastAsia="仿宋_GB2312"/>
          <w:sz w:val="32"/>
          <w:szCs w:val="32"/>
        </w:rPr>
        <w:t>万元。</w:t>
      </w:r>
    </w:p>
    <w:p>
      <w:pPr>
        <w:ind w:firstLine="640"/>
        <w:rPr>
          <w:rFonts w:ascii="仿宋_GB2312" w:eastAsia="仿宋_GB2312"/>
          <w:sz w:val="32"/>
          <w:szCs w:val="32"/>
        </w:rPr>
      </w:pPr>
      <w:r>
        <w:rPr>
          <w:rFonts w:ascii="仿宋_GB2312" w:eastAsia="仿宋_GB2312"/>
          <w:sz w:val="32"/>
          <w:szCs w:val="32"/>
        </w:rPr>
        <w:t>（三）国有资产占用情况。截至2016年12月31日，</w:t>
      </w:r>
      <w:r>
        <w:rPr>
          <w:rFonts w:hint="eastAsia" w:ascii="仿宋_GB2312" w:eastAsia="仿宋_GB2312"/>
          <w:sz w:val="32"/>
          <w:szCs w:val="32"/>
          <w:lang w:eastAsia="zh-CN"/>
        </w:rPr>
        <w:t>贵德县新街</w:t>
      </w:r>
      <w:r>
        <w:rPr>
          <w:rFonts w:hint="eastAsia" w:ascii="仿宋_GB2312" w:eastAsia="仿宋_GB2312"/>
          <w:sz w:val="32"/>
          <w:szCs w:val="32"/>
        </w:rPr>
        <w:t>乡人民政府</w:t>
      </w:r>
      <w:r>
        <w:rPr>
          <w:rFonts w:ascii="仿宋_GB2312" w:eastAsia="仿宋_GB2312"/>
          <w:sz w:val="32"/>
          <w:szCs w:val="32"/>
        </w:rPr>
        <w:t>共有车辆</w:t>
      </w:r>
      <w:r>
        <w:rPr>
          <w:rFonts w:hint="eastAsia" w:ascii="仿宋_GB2312" w:eastAsia="仿宋_GB2312"/>
          <w:sz w:val="32"/>
          <w:szCs w:val="32"/>
        </w:rPr>
        <w:t>2</w:t>
      </w:r>
      <w:r>
        <w:rPr>
          <w:rFonts w:ascii="仿宋_GB2312" w:eastAsia="仿宋_GB2312"/>
          <w:sz w:val="32"/>
          <w:szCs w:val="32"/>
        </w:rPr>
        <w:t>辆，其中：副部（省）级及以上领导用车</w:t>
      </w:r>
      <w:r>
        <w:rPr>
          <w:rFonts w:hint="eastAsia" w:ascii="仿宋_GB2312" w:eastAsia="仿宋_GB2312"/>
          <w:sz w:val="32"/>
          <w:szCs w:val="32"/>
        </w:rPr>
        <w:t>0</w:t>
      </w:r>
      <w:r>
        <w:rPr>
          <w:rFonts w:ascii="仿宋_GB2312" w:eastAsia="仿宋_GB2312"/>
          <w:sz w:val="32"/>
          <w:szCs w:val="32"/>
        </w:rPr>
        <w:t>辆、一般公务用车</w:t>
      </w:r>
      <w:r>
        <w:rPr>
          <w:rFonts w:hint="eastAsia" w:ascii="仿宋_GB2312" w:eastAsia="仿宋_GB2312"/>
          <w:sz w:val="32"/>
          <w:szCs w:val="32"/>
        </w:rPr>
        <w:t>2</w:t>
      </w:r>
      <w:r>
        <w:rPr>
          <w:rFonts w:ascii="仿宋_GB2312" w:eastAsia="仿宋_GB2312"/>
          <w:sz w:val="32"/>
          <w:szCs w:val="32"/>
        </w:rPr>
        <w:t>辆、一般执法执勤用车</w:t>
      </w:r>
      <w:r>
        <w:rPr>
          <w:rFonts w:hint="eastAsia" w:ascii="仿宋_GB2312" w:eastAsia="仿宋_GB2312"/>
          <w:sz w:val="32"/>
          <w:szCs w:val="32"/>
        </w:rPr>
        <w:t>0</w:t>
      </w:r>
      <w:r>
        <w:rPr>
          <w:rFonts w:ascii="仿宋_GB2312" w:eastAsia="仿宋_GB2312"/>
          <w:sz w:val="32"/>
          <w:szCs w:val="32"/>
        </w:rPr>
        <w:t>辆、特种专业技术用车</w:t>
      </w:r>
      <w:r>
        <w:rPr>
          <w:rFonts w:hint="eastAsia" w:ascii="仿宋_GB2312" w:eastAsia="仿宋_GB2312"/>
          <w:sz w:val="32"/>
          <w:szCs w:val="32"/>
        </w:rPr>
        <w:t>0</w:t>
      </w:r>
      <w:r>
        <w:rPr>
          <w:rFonts w:ascii="仿宋_GB2312" w:eastAsia="仿宋_GB2312"/>
          <w:sz w:val="32"/>
          <w:szCs w:val="32"/>
        </w:rPr>
        <w:t>辆。</w:t>
      </w:r>
    </w:p>
    <w:p>
      <w:pPr>
        <w:ind w:firstLine="640"/>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第四部分名词解释</w:t>
      </w:r>
    </w:p>
    <w:p>
      <w:pPr>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财政拨款收入：指</w:t>
      </w:r>
      <w:r>
        <w:rPr>
          <w:rFonts w:hint="eastAsia" w:ascii="仿宋_GB2312" w:eastAsia="仿宋_GB2312"/>
          <w:sz w:val="32"/>
          <w:szCs w:val="32"/>
        </w:rPr>
        <w:t>本级</w:t>
      </w:r>
      <w:r>
        <w:rPr>
          <w:rFonts w:ascii="仿宋_GB2312" w:eastAsia="仿宋_GB2312"/>
          <w:sz w:val="32"/>
          <w:szCs w:val="32"/>
        </w:rPr>
        <w:t>财政当年拨付的资金。</w:t>
      </w:r>
    </w:p>
    <w:p>
      <w:pPr>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w:t>
      </w:r>
      <w:r>
        <w:rPr>
          <w:rFonts w:ascii="仿宋_GB2312" w:eastAsia="仿宋_GB2312"/>
          <w:sz w:val="32"/>
          <w:szCs w:val="32"/>
        </w:rPr>
        <w:t>上级补助收入：指事业单位从主管部门和上级单位取得的非财政补助收入。</w:t>
      </w:r>
    </w:p>
    <w:p>
      <w:pPr>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w:t>
      </w:r>
      <w:r>
        <w:rPr>
          <w:rFonts w:ascii="仿宋_GB2312" w:eastAsia="仿宋_GB2312"/>
          <w:sz w:val="32"/>
          <w:szCs w:val="32"/>
        </w:rPr>
        <w:t>事业收入：指事业单位开展专业业务活动及其辅助活动取得的收入。</w:t>
      </w:r>
    </w:p>
    <w:p>
      <w:pPr>
        <w:ind w:firstLine="640" w:firstLineChars="200"/>
        <w:rPr>
          <w:rFonts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经营收入：指事业单位在专业业务活动及其辅助活动之外开展非独立核算经营活动取得的收入。</w:t>
      </w:r>
    </w:p>
    <w:p>
      <w:pPr>
        <w:ind w:firstLine="640" w:firstLineChars="200"/>
        <w:rPr>
          <w:rFonts w:ascii="仿宋_GB2312" w:eastAsia="仿宋_GB2312"/>
          <w:sz w:val="32"/>
          <w:szCs w:val="32"/>
        </w:rPr>
      </w:pPr>
      <w:r>
        <w:rPr>
          <w:rFonts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附属单位缴款：指事业单位附属的独立核算单位按规定标准或比例缴纳的各项收入。</w:t>
      </w:r>
    </w:p>
    <w:p>
      <w:pPr>
        <w:ind w:firstLine="640" w:firstLineChars="200"/>
        <w:rPr>
          <w:rFonts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w:t>
      </w:r>
      <w:r>
        <w:rPr>
          <w:rFonts w:ascii="仿宋_GB2312" w:eastAsia="仿宋_GB2312"/>
          <w:sz w:val="32"/>
          <w:szCs w:val="32"/>
        </w:rPr>
        <w:t>其他收入：指除上述“财政拨款收入”、“事业收入”、“经营收入”等以外的收入，如投资收益、利息收入等。</w:t>
      </w:r>
    </w:p>
    <w:p>
      <w:pPr>
        <w:ind w:firstLine="640" w:firstLineChars="200"/>
        <w:rPr>
          <w:rFonts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w:t>
      </w:r>
      <w:r>
        <w:rPr>
          <w:rFonts w:ascii="仿宋_GB2312" w:eastAsia="仿宋_GB2312"/>
          <w:sz w:val="32"/>
          <w:szCs w:val="32"/>
        </w:rPr>
        <w:t>用事业基金弥补收支差额：指事业单位在当年的“财政拨款收入”、“财政拨款结转和结余资金”、“事业收入”、“经营收入”和“其他收入”不足以安排当年支出的情况下，使用以前年度积累的事业基金（即事业单位当年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八</w:t>
      </w:r>
      <w:r>
        <w:rPr>
          <w:rFonts w:hint="eastAsia" w:ascii="仿宋_GB2312" w:eastAsia="仿宋_GB2312"/>
          <w:sz w:val="32"/>
          <w:szCs w:val="32"/>
        </w:rPr>
        <w:t>、</w:t>
      </w:r>
      <w:r>
        <w:rPr>
          <w:rFonts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九</w:t>
      </w:r>
      <w:r>
        <w:rPr>
          <w:rFonts w:hint="eastAsia" w:ascii="仿宋_GB2312" w:eastAsia="仿宋_GB2312"/>
          <w:sz w:val="32"/>
          <w:szCs w:val="32"/>
        </w:rPr>
        <w:t>、</w:t>
      </w:r>
      <w:r>
        <w:rPr>
          <w:rFonts w:ascii="仿宋_GB2312" w:eastAsia="仿宋_GB2312"/>
          <w:sz w:val="32"/>
          <w:szCs w:val="32"/>
        </w:rPr>
        <w:t>住房保障支出（类）住房改革支出（款）：指</w:t>
      </w:r>
      <w:r>
        <w:rPr>
          <w:rFonts w:hint="eastAsia" w:ascii="仿宋_GB2312" w:eastAsia="仿宋_GB2312"/>
          <w:sz w:val="32"/>
          <w:szCs w:val="32"/>
        </w:rPr>
        <w:t>**</w:t>
      </w:r>
      <w:r>
        <w:rPr>
          <w:rFonts w:ascii="仿宋_GB2312" w:eastAsia="仿宋_GB2312"/>
          <w:sz w:val="32"/>
          <w:szCs w:val="32"/>
        </w:rPr>
        <w:t>机关及</w:t>
      </w:r>
      <w:r>
        <w:rPr>
          <w:rFonts w:hint="eastAsia" w:ascii="仿宋_GB2312" w:eastAsia="仿宋_GB2312"/>
          <w:sz w:val="32"/>
          <w:szCs w:val="32"/>
        </w:rPr>
        <w:t>所</w:t>
      </w:r>
      <w:r>
        <w:rPr>
          <w:rFonts w:ascii="仿宋_GB2312" w:eastAsia="仿宋_GB2312"/>
          <w:sz w:val="32"/>
          <w:szCs w:val="32"/>
        </w:rPr>
        <w:t>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w:t>
      </w:r>
      <w:r>
        <w:rPr>
          <w:rFonts w:hint="eastAsia" w:ascii="仿宋_GB2312" w:eastAsia="仿宋_GB2312"/>
          <w:sz w:val="32"/>
          <w:szCs w:val="32"/>
        </w:rPr>
        <w:t>房改政策规定的标准</w:t>
      </w:r>
      <w:r>
        <w:rPr>
          <w:rFonts w:ascii="仿宋_GB2312" w:eastAsia="仿宋_GB2312"/>
          <w:sz w:val="32"/>
          <w:szCs w:val="32"/>
        </w:rPr>
        <w:t>，</w:t>
      </w:r>
      <w:r>
        <w:rPr>
          <w:rFonts w:hint="eastAsia" w:ascii="仿宋_GB2312" w:eastAsia="仿宋_GB2312"/>
          <w:sz w:val="32"/>
          <w:szCs w:val="32"/>
        </w:rPr>
        <w:t>向职工发放的租金补贴，</w:t>
      </w:r>
      <w:r>
        <w:rPr>
          <w:rFonts w:ascii="仿宋_GB2312" w:eastAsia="仿宋_GB2312"/>
          <w:sz w:val="32"/>
          <w:szCs w:val="32"/>
        </w:rPr>
        <w:t>人均标准</w:t>
      </w:r>
      <w:r>
        <w:rPr>
          <w:rFonts w:hint="eastAsia" w:ascii="仿宋_GB2312" w:eastAsia="仿宋_GB2312"/>
          <w:sz w:val="32"/>
          <w:szCs w:val="32"/>
        </w:rPr>
        <w:t>*</w:t>
      </w:r>
      <w:r>
        <w:rPr>
          <w:rFonts w:ascii="仿宋_GB2312" w:eastAsia="仿宋_GB2312"/>
          <w:sz w:val="32"/>
          <w:szCs w:val="32"/>
        </w:rPr>
        <w:t>元/月。3.购房补贴：</w:t>
      </w:r>
      <w:r>
        <w:rPr>
          <w:rFonts w:hint="eastAsia" w:ascii="仿宋_GB2312" w:eastAsia="仿宋_GB2312"/>
          <w:sz w:val="32"/>
          <w:szCs w:val="32"/>
        </w:rPr>
        <w:t>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sz w:val="32"/>
          <w:szCs w:val="32"/>
        </w:rPr>
        <w:t>十</w:t>
      </w:r>
      <w:r>
        <w:rPr>
          <w:rFonts w:hint="eastAsia" w:ascii="仿宋_GB2312" w:eastAsia="仿宋_GB2312"/>
          <w:sz w:val="32"/>
          <w:szCs w:val="32"/>
        </w:rPr>
        <w:t>、</w:t>
      </w:r>
      <w:r>
        <w:rPr>
          <w:rFonts w:ascii="仿宋_GB2312" w:eastAsia="仿宋_GB2312"/>
          <w:sz w:val="32"/>
          <w:szCs w:val="32"/>
        </w:rPr>
        <w:t>结余分配：指当年结余的分配情况。主要包括事业单位按规定提取的职工福利基金，交纳所得税、转入事业基金以外的结余分配情况。</w:t>
      </w:r>
    </w:p>
    <w:p>
      <w:pPr>
        <w:ind w:firstLine="640" w:firstLineChars="200"/>
        <w:rPr>
          <w:rFonts w:ascii="仿宋_GB2312" w:eastAsia="仿宋_GB2312"/>
          <w:sz w:val="32"/>
          <w:szCs w:val="32"/>
        </w:rPr>
      </w:pPr>
      <w:r>
        <w:rPr>
          <w:rFonts w:ascii="仿宋_GB2312" w:eastAsia="仿宋_GB2312"/>
          <w:sz w:val="32"/>
          <w:szCs w:val="32"/>
        </w:rPr>
        <w:t>十一</w:t>
      </w:r>
      <w:r>
        <w:rPr>
          <w:rFonts w:hint="eastAsia" w:ascii="仿宋_GB2312" w:eastAsia="仿宋_GB2312"/>
          <w:sz w:val="32"/>
          <w:szCs w:val="32"/>
        </w:rPr>
        <w:t>、</w:t>
      </w:r>
      <w:r>
        <w:rPr>
          <w:rFonts w:ascii="仿宋_GB2312" w:eastAsia="仿宋_GB2312"/>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十二</w:t>
      </w:r>
      <w:r>
        <w:rPr>
          <w:rFonts w:hint="eastAsia" w:ascii="仿宋_GB2312" w:eastAsia="仿宋_GB2312"/>
          <w:sz w:val="32"/>
          <w:szCs w:val="32"/>
        </w:rPr>
        <w:t>、</w:t>
      </w:r>
      <w:r>
        <w:rPr>
          <w:rFonts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十三</w:t>
      </w:r>
      <w:r>
        <w:rPr>
          <w:rFonts w:hint="eastAsia" w:ascii="仿宋_GB2312" w:eastAsia="仿宋_GB2312"/>
          <w:sz w:val="32"/>
          <w:szCs w:val="32"/>
        </w:rPr>
        <w:t>、</w:t>
      </w:r>
      <w:r>
        <w:rPr>
          <w:rFonts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sz w:val="32"/>
          <w:szCs w:val="32"/>
        </w:rPr>
        <w:t>十四</w:t>
      </w:r>
      <w:r>
        <w:rPr>
          <w:rFonts w:hint="eastAsia" w:ascii="仿宋_GB2312" w:eastAsia="仿宋_GB2312"/>
          <w:sz w:val="32"/>
          <w:szCs w:val="32"/>
        </w:rPr>
        <w:t>、</w:t>
      </w:r>
      <w:r>
        <w:rPr>
          <w:rFonts w:ascii="仿宋_GB2312" w:eastAsia="仿宋_GB2312"/>
          <w:sz w:val="32"/>
          <w:szCs w:val="32"/>
        </w:rPr>
        <w:t>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ascii="仿宋_GB2312" w:eastAsia="仿宋_GB2312"/>
          <w:sz w:val="32"/>
          <w:szCs w:val="32"/>
        </w:rPr>
        <w:t>十五</w:t>
      </w:r>
      <w:r>
        <w:rPr>
          <w:rFonts w:hint="eastAsia" w:ascii="仿宋_GB2312" w:eastAsia="仿宋_GB2312"/>
          <w:sz w:val="32"/>
          <w:szCs w:val="32"/>
        </w:rPr>
        <w:t>、</w:t>
      </w:r>
      <w:r>
        <w:rPr>
          <w:rFonts w:ascii="仿宋_GB2312" w:eastAsia="仿宋_GB2312"/>
          <w:sz w:val="32"/>
          <w:szCs w:val="32"/>
        </w:rPr>
        <w:t>对附属单位补助支出：指预算单位对所属单位补助发生的支出。</w:t>
      </w:r>
    </w:p>
    <w:p>
      <w:pPr>
        <w:ind w:firstLine="640" w:firstLineChars="200"/>
        <w:rPr>
          <w:rFonts w:ascii="仿宋_GB2312" w:eastAsia="仿宋_GB2312"/>
          <w:sz w:val="32"/>
          <w:szCs w:val="32"/>
        </w:rPr>
      </w:pPr>
      <w:r>
        <w:rPr>
          <w:rFonts w:ascii="仿宋_GB2312" w:eastAsia="仿宋_GB2312"/>
          <w:sz w:val="32"/>
          <w:szCs w:val="32"/>
        </w:rPr>
        <w:t>十六</w:t>
      </w:r>
      <w:r>
        <w:rPr>
          <w:rFonts w:hint="eastAsia" w:ascii="仿宋_GB2312" w:eastAsia="仿宋_GB2312"/>
          <w:sz w:val="32"/>
          <w:szCs w:val="32"/>
        </w:rPr>
        <w:t>、</w:t>
      </w:r>
      <w:r>
        <w:rPr>
          <w:rFonts w:ascii="仿宋_GB2312" w:eastAsia="仿宋_GB2312"/>
          <w:sz w:val="32"/>
          <w:szCs w:val="32"/>
        </w:rPr>
        <w:t>“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十七</w:t>
      </w:r>
      <w:r>
        <w:rPr>
          <w:rFonts w:hint="eastAsia" w:ascii="仿宋_GB2312" w:eastAsia="仿宋_GB2312"/>
          <w:sz w:val="32"/>
          <w:szCs w:val="32"/>
        </w:rPr>
        <w:t>、</w:t>
      </w:r>
      <w:r>
        <w:rPr>
          <w:rFonts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 xml:space="preserve">                                                                                                                                                                                                                                                                                                                                                                                                                                                                                                                                                                                                                                                                                                                                                                                                                                                                                                                                                                                                                                                                            </w:t>
      </w:r>
    </w:p>
    <w:sectPr>
      <w:footerReference r:id="rId3" w:type="default"/>
      <w:footerReference r:id="rId4" w:type="even"/>
      <w:pgSz w:w="11906" w:h="16838"/>
      <w:pgMar w:top="720" w:right="720" w:bottom="720" w:left="720" w:header="851" w:footer="992" w:gutter="0"/>
      <w:cols w:space="720" w:num="1"/>
      <w:titlePg/>
      <w:docGrid w:type="lines" w:linePitch="62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20</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13914"/>
    <w:multiLevelType w:val="multilevel"/>
    <w:tmpl w:val="21B13914"/>
    <w:lvl w:ilvl="0" w:tentative="0">
      <w:start w:val="1"/>
      <w:numFmt w:val="japaneseCounting"/>
      <w:lvlText w:val="%1、"/>
      <w:lvlJc w:val="left"/>
      <w:pPr>
        <w:ind w:left="1357" w:hanging="720"/>
      </w:pPr>
      <w:rPr>
        <w:rFonts w:hint="default"/>
        <w:b/>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58"/>
  <w:drawingGridVerticalSpacing w:val="6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08A0"/>
    <w:rsid w:val="00022BA0"/>
    <w:rsid w:val="0002500F"/>
    <w:rsid w:val="00041E22"/>
    <w:rsid w:val="00066CBB"/>
    <w:rsid w:val="00093139"/>
    <w:rsid w:val="000C6A32"/>
    <w:rsid w:val="000D4114"/>
    <w:rsid w:val="000F3CD7"/>
    <w:rsid w:val="00180853"/>
    <w:rsid w:val="0018149C"/>
    <w:rsid w:val="001B7D3B"/>
    <w:rsid w:val="00221C1D"/>
    <w:rsid w:val="00224BA5"/>
    <w:rsid w:val="002B5F51"/>
    <w:rsid w:val="002E6CD1"/>
    <w:rsid w:val="003C4407"/>
    <w:rsid w:val="0040481B"/>
    <w:rsid w:val="00462380"/>
    <w:rsid w:val="0048711D"/>
    <w:rsid w:val="004977A6"/>
    <w:rsid w:val="004A7E7B"/>
    <w:rsid w:val="004F518F"/>
    <w:rsid w:val="00525B8A"/>
    <w:rsid w:val="005656C7"/>
    <w:rsid w:val="005B7ACF"/>
    <w:rsid w:val="0065705E"/>
    <w:rsid w:val="00657161"/>
    <w:rsid w:val="00665A17"/>
    <w:rsid w:val="006A114B"/>
    <w:rsid w:val="006A7D4B"/>
    <w:rsid w:val="006C04CB"/>
    <w:rsid w:val="006E47DC"/>
    <w:rsid w:val="00723846"/>
    <w:rsid w:val="007414AD"/>
    <w:rsid w:val="007453EE"/>
    <w:rsid w:val="007B2786"/>
    <w:rsid w:val="00825593"/>
    <w:rsid w:val="00841007"/>
    <w:rsid w:val="00847632"/>
    <w:rsid w:val="00854410"/>
    <w:rsid w:val="0085477F"/>
    <w:rsid w:val="00870D83"/>
    <w:rsid w:val="00872FD3"/>
    <w:rsid w:val="008861A6"/>
    <w:rsid w:val="00920C79"/>
    <w:rsid w:val="00924FDD"/>
    <w:rsid w:val="00946AEF"/>
    <w:rsid w:val="00947F81"/>
    <w:rsid w:val="00983692"/>
    <w:rsid w:val="009C0A86"/>
    <w:rsid w:val="009C6CA0"/>
    <w:rsid w:val="009E44FD"/>
    <w:rsid w:val="00A15057"/>
    <w:rsid w:val="00A539D7"/>
    <w:rsid w:val="00A84583"/>
    <w:rsid w:val="00A94CCC"/>
    <w:rsid w:val="00AE50CF"/>
    <w:rsid w:val="00AE5920"/>
    <w:rsid w:val="00B368A5"/>
    <w:rsid w:val="00B61403"/>
    <w:rsid w:val="00B879A4"/>
    <w:rsid w:val="00B946B5"/>
    <w:rsid w:val="00BD44BD"/>
    <w:rsid w:val="00BD76C4"/>
    <w:rsid w:val="00BE293B"/>
    <w:rsid w:val="00C02666"/>
    <w:rsid w:val="00C0404B"/>
    <w:rsid w:val="00C118B4"/>
    <w:rsid w:val="00C13421"/>
    <w:rsid w:val="00C235C9"/>
    <w:rsid w:val="00C71090"/>
    <w:rsid w:val="00CC5EC3"/>
    <w:rsid w:val="00CC760F"/>
    <w:rsid w:val="00CD08A0"/>
    <w:rsid w:val="00CD4CEB"/>
    <w:rsid w:val="00D06F92"/>
    <w:rsid w:val="00D8636F"/>
    <w:rsid w:val="00DD2CD8"/>
    <w:rsid w:val="00E0719E"/>
    <w:rsid w:val="00E86F0C"/>
    <w:rsid w:val="00E875CC"/>
    <w:rsid w:val="00EA7708"/>
    <w:rsid w:val="00EB0C82"/>
    <w:rsid w:val="00F14B85"/>
    <w:rsid w:val="00F560DC"/>
    <w:rsid w:val="00F73A41"/>
    <w:rsid w:val="00F969A1"/>
    <w:rsid w:val="00FB2FA1"/>
    <w:rsid w:val="00FB4795"/>
    <w:rsid w:val="22DF3507"/>
    <w:rsid w:val="3D1B37FA"/>
    <w:rsid w:val="5FA16C36"/>
    <w:rsid w:val="DF7FE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3"/>
    <w:semiHidden/>
    <w:qFormat/>
    <w:uiPriority w:val="0"/>
    <w:pPr>
      <w:shd w:val="clear" w:color="auto" w:fill="000080"/>
    </w:pPr>
  </w:style>
  <w:style w:type="paragraph" w:styleId="3">
    <w:name w:val="Body Text Indent"/>
    <w:basedOn w:val="1"/>
    <w:link w:val="17"/>
    <w:qFormat/>
    <w:uiPriority w:val="0"/>
    <w:pPr>
      <w:ind w:firstLine="594" w:firstLineChars="198"/>
    </w:pPr>
    <w:rPr>
      <w:rFonts w:ascii="黑体" w:eastAsia="黑体"/>
      <w:bCs/>
      <w:sz w:val="30"/>
      <w:szCs w:val="30"/>
    </w:rPr>
  </w:style>
  <w:style w:type="paragraph" w:styleId="4">
    <w:name w:val="Date"/>
    <w:basedOn w:val="1"/>
    <w:next w:val="1"/>
    <w:link w:val="14"/>
    <w:qFormat/>
    <w:uiPriority w:val="0"/>
    <w:pPr>
      <w:ind w:left="100" w:leftChars="2500"/>
    </w:pPr>
  </w:style>
  <w:style w:type="paragraph" w:styleId="5">
    <w:name w:val="Balloon Text"/>
    <w:basedOn w:val="1"/>
    <w:link w:val="15"/>
    <w:semiHidden/>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文档结构图 Char"/>
    <w:basedOn w:val="9"/>
    <w:link w:val="2"/>
    <w:semiHidden/>
    <w:qFormat/>
    <w:uiPriority w:val="0"/>
    <w:rPr>
      <w:rFonts w:ascii="Times New Roman" w:hAnsi="Times New Roman" w:eastAsia="宋体" w:cs="Times New Roman"/>
      <w:szCs w:val="24"/>
      <w:shd w:val="clear" w:color="auto" w:fill="000080"/>
    </w:rPr>
  </w:style>
  <w:style w:type="character" w:customStyle="1" w:styleId="14">
    <w:name w:val="日期 Char"/>
    <w:basedOn w:val="9"/>
    <w:link w:val="4"/>
    <w:qFormat/>
    <w:uiPriority w:val="0"/>
    <w:rPr>
      <w:rFonts w:ascii="Times New Roman" w:hAnsi="Times New Roman" w:eastAsia="宋体" w:cs="Times New Roman"/>
      <w:szCs w:val="24"/>
    </w:rPr>
  </w:style>
  <w:style w:type="character" w:customStyle="1" w:styleId="15">
    <w:name w:val="批注框文本 Char"/>
    <w:basedOn w:val="9"/>
    <w:link w:val="5"/>
    <w:semiHidden/>
    <w:qFormat/>
    <w:uiPriority w:val="0"/>
    <w:rPr>
      <w:rFonts w:ascii="Times New Roman" w:hAnsi="Times New Roman" w:eastAsia="宋体" w:cs="Times New Roman"/>
      <w:sz w:val="18"/>
      <w:szCs w:val="18"/>
    </w:rPr>
  </w:style>
  <w:style w:type="character" w:customStyle="1" w:styleId="16">
    <w:name w:val="页眉 Char"/>
    <w:basedOn w:val="9"/>
    <w:link w:val="7"/>
    <w:qFormat/>
    <w:uiPriority w:val="0"/>
    <w:rPr>
      <w:rFonts w:ascii="Times New Roman" w:hAnsi="Times New Roman" w:eastAsia="宋体" w:cs="Times New Roman"/>
      <w:sz w:val="18"/>
      <w:szCs w:val="18"/>
    </w:rPr>
  </w:style>
  <w:style w:type="character" w:customStyle="1" w:styleId="17">
    <w:name w:val="正文文本缩进 Char"/>
    <w:basedOn w:val="9"/>
    <w:link w:val="3"/>
    <w:qFormat/>
    <w:uiPriority w:val="0"/>
    <w:rPr>
      <w:rFonts w:ascii="黑体" w:hAnsi="Times New Roman" w:eastAsia="黑体" w:cs="Times New Roman"/>
      <w:bCs/>
      <w:sz w:val="30"/>
      <w:szCs w:val="30"/>
    </w:rPr>
  </w:style>
  <w:style w:type="character" w:customStyle="1" w:styleId="18">
    <w:name w:val="页脚 Char"/>
    <w:basedOn w:val="9"/>
    <w:link w:val="6"/>
    <w:qFormat/>
    <w:uiPriority w:val="0"/>
    <w:rPr>
      <w:rFonts w:ascii="Times New Roman" w:hAnsi="Times New Roman" w:eastAsia="宋体" w:cs="Times New Roman"/>
      <w:sz w:val="18"/>
      <w:szCs w:val="18"/>
    </w:rPr>
  </w:style>
  <w:style w:type="paragraph" w:customStyle="1" w:styleId="19">
    <w:name w:val="_Style 1"/>
    <w:basedOn w:val="2"/>
    <w:qFormat/>
    <w:uiPriority w:val="0"/>
    <w:pPr>
      <w:adjustRightInd w:val="0"/>
      <w:spacing w:line="436" w:lineRule="exact"/>
      <w:ind w:left="357"/>
      <w:jc w:val="left"/>
      <w:outlineLvl w:val="3"/>
    </w:pPr>
  </w:style>
  <w:style w:type="paragraph" w:customStyle="1" w:styleId="20">
    <w:name w:val="正文1"/>
    <w:basedOn w:val="1"/>
    <w:qFormat/>
    <w:uiPriority w:val="0"/>
    <w:pPr>
      <w:widowControl/>
    </w:pPr>
    <w:rPr>
      <w:rFonts w:eastAsia="Times New Roman"/>
      <w:kern w:val="0"/>
      <w:szCs w:val="20"/>
      <w:lang w:val="zh-CN"/>
    </w:rPr>
  </w:style>
  <w:style w:type="paragraph" w:customStyle="1" w:styleId="21">
    <w:name w:val="Char Char Char Char"/>
    <w:basedOn w:val="1"/>
    <w:qFormat/>
    <w:uiPriority w:val="0"/>
    <w:rPr>
      <w:rFonts w:ascii="Tahoma" w:hAnsi="Tahoma"/>
      <w:sz w:val="24"/>
      <w:szCs w:val="20"/>
    </w:rPr>
  </w:style>
  <w:style w:type="paragraph" w:customStyle="1" w:styleId="22">
    <w:name w:val="默认段落字体 Para Char Char Char Char Char Char Char Char Char Char"/>
    <w:basedOn w:val="1"/>
    <w:qFormat/>
    <w:uiPriority w:val="0"/>
    <w:rPr>
      <w:rFonts w:ascii="Tahoma" w:hAnsi="Tahoma"/>
      <w:sz w:val="24"/>
      <w:szCs w:val="20"/>
    </w:rPr>
  </w:style>
  <w:style w:type="paragraph" w:customStyle="1" w:styleId="23">
    <w:name w:val="Char Char Char Char Char Char Char"/>
    <w:basedOn w:val="1"/>
    <w:qFormat/>
    <w:uiPriority w:val="0"/>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invertIfNegative val="false"/>
          <c:dLbls>
            <c:delete val="true"/>
          </c:dLbls>
          <c:cat>
            <c:strRef>
              <c:f>Sheet1!$A$2:$A$3</c:f>
              <c:strCache>
                <c:ptCount val="2"/>
                <c:pt idx="0">
                  <c:v>2016年收支总决算</c:v>
                </c:pt>
                <c:pt idx="1">
                  <c:v>2015年收支总决算</c:v>
                </c:pt>
              </c:strCache>
            </c:strRef>
          </c:cat>
          <c:val>
            <c:numRef>
              <c:f>Sheet1!$B$2:$B$3</c:f>
              <c:numCache>
                <c:formatCode>General</c:formatCode>
                <c:ptCount val="2"/>
                <c:pt idx="0">
                  <c:v>1496.62</c:v>
                </c:pt>
                <c:pt idx="1">
                  <c:v>340.4</c:v>
                </c:pt>
              </c:numCache>
            </c:numRef>
          </c:val>
        </c:ser>
        <c:dLbls>
          <c:showLegendKey val="false"/>
          <c:showVal val="false"/>
          <c:showCatName val="false"/>
          <c:showSerName val="false"/>
          <c:showPercent val="false"/>
          <c:showBubbleSize val="false"/>
        </c:dLbls>
        <c:gapWidth val="150"/>
        <c:axId val="248918784"/>
        <c:axId val="248920320"/>
      </c:barChart>
      <c:catAx>
        <c:axId val="24891878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920320"/>
        <c:crosses val="autoZero"/>
        <c:auto val="true"/>
        <c:lblAlgn val="ctr"/>
        <c:lblOffset val="100"/>
        <c:noMultiLvlLbl val="false"/>
      </c:catAx>
      <c:valAx>
        <c:axId val="2489203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918784"/>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20045411089866"/>
          <c:y val="0"/>
          <c:w val="0.484102931803698"/>
          <c:h val="0.813071856944442"/>
        </c:manualLayout>
      </c:layout>
      <c:pieChart>
        <c:varyColors val="true"/>
        <c:ser>
          <c:idx val="0"/>
          <c:order val="0"/>
          <c:tx>
            <c:strRef>
              <c:f>Sheet1!$B$1</c:f>
              <c:strCache>
                <c:ptCount val="1"/>
                <c:pt idx="0">
                  <c:v>列1</c:v>
                </c:pt>
              </c:strCache>
            </c:strRef>
          </c:tx>
          <c:explosion val="0"/>
          <c:dPt>
            <c:idx val="0"/>
            <c:bubble3D val="false"/>
          </c:dPt>
          <c:dPt>
            <c:idx val="1"/>
            <c:bubble3D val="false"/>
          </c:dPt>
          <c:dLbls>
            <c:delete val="true"/>
          </c:dLbls>
          <c:cat>
            <c:strRef>
              <c:f>Sheet1!$A$2:$A$3</c:f>
              <c:strCache>
                <c:ptCount val="2"/>
                <c:pt idx="0">
                  <c:v>财政拨款收入</c:v>
                </c:pt>
                <c:pt idx="1">
                  <c:v>其他收入</c:v>
                </c:pt>
              </c:strCache>
            </c:strRef>
          </c:cat>
          <c:val>
            <c:numRef>
              <c:f>Sheet1!$B$2:$B$3</c:f>
              <c:numCache>
                <c:formatCode>General</c:formatCode>
                <c:ptCount val="2"/>
                <c:pt idx="0">
                  <c:v>479.06</c:v>
                </c:pt>
                <c:pt idx="1">
                  <c:v>1017.56</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66716192109072"/>
          <c:y val="0.705797012575405"/>
          <c:w val="0.291225984057534"/>
          <c:h val="0.240735120924184"/>
        </c:manualLayout>
      </c:layout>
      <c:overlay val="false"/>
      <c:txPr>
        <a:bodyPr rot="0" spcFirstLastPara="0" vertOverflow="ellipsis" vert="horz" wrap="square" anchor="ctr" anchorCtr="true"/>
        <a:lstStyle/>
        <a:p>
          <a:pPr>
            <a:defRPr lang="zh-CN" sz="9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explosion val="0"/>
          <c:dPt>
            <c:idx val="0"/>
            <c:bubble3D val="false"/>
          </c:dPt>
          <c:dPt>
            <c:idx val="1"/>
            <c:bubble3D val="false"/>
          </c:dPt>
          <c:dLbls>
            <c:delete val="true"/>
          </c:dLbls>
          <c:cat>
            <c:strRef>
              <c:f>Sheet1!$A$2:$A$3</c:f>
              <c:strCache>
                <c:ptCount val="2"/>
                <c:pt idx="0">
                  <c:v>基本支出</c:v>
                </c:pt>
                <c:pt idx="1">
                  <c:v>项目支出</c:v>
                </c:pt>
              </c:strCache>
            </c:strRef>
          </c:cat>
          <c:val>
            <c:numRef>
              <c:f>Sheet1!$B$2:$B$3</c:f>
              <c:numCache>
                <c:formatCode>General</c:formatCode>
                <c:ptCount val="2"/>
                <c:pt idx="0">
                  <c:v>478.3</c:v>
                </c:pt>
                <c:pt idx="1">
                  <c:v>625.939999999999</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列1</c:v>
                </c:pt>
              </c:strCache>
            </c:strRef>
          </c:tx>
          <c:invertIfNegative val="false"/>
          <c:dLbls>
            <c:delete val="true"/>
          </c:dLbls>
          <c:cat>
            <c:strRef>
              <c:f>Sheet1!$A$2:$A$3</c:f>
              <c:strCache>
                <c:ptCount val="2"/>
                <c:pt idx="0">
                  <c:v>2016年财政收支总决算</c:v>
                </c:pt>
                <c:pt idx="1">
                  <c:v>2015年财政收支总决算</c:v>
                </c:pt>
              </c:strCache>
            </c:strRef>
          </c:cat>
          <c:val>
            <c:numRef>
              <c:f>Sheet1!$B$2:$B$3</c:f>
              <c:numCache>
                <c:formatCode>General</c:formatCode>
                <c:ptCount val="2"/>
                <c:pt idx="0">
                  <c:v>478.3</c:v>
                </c:pt>
                <c:pt idx="1">
                  <c:v>340.4</c:v>
                </c:pt>
              </c:numCache>
            </c:numRef>
          </c:val>
        </c:ser>
        <c:dLbls>
          <c:showLegendKey val="false"/>
          <c:showVal val="false"/>
          <c:showCatName val="false"/>
          <c:showSerName val="false"/>
          <c:showPercent val="false"/>
          <c:showBubbleSize val="false"/>
        </c:dLbls>
        <c:gapWidth val="150"/>
        <c:axId val="332095872"/>
        <c:axId val="332097408"/>
      </c:barChart>
      <c:catAx>
        <c:axId val="33209587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2097408"/>
        <c:crosses val="autoZero"/>
        <c:auto val="true"/>
        <c:lblAlgn val="ctr"/>
        <c:lblOffset val="100"/>
        <c:noMultiLvlLbl val="false"/>
      </c:catAx>
      <c:valAx>
        <c:axId val="33209740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209587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2081</Words>
  <Characters>11868</Characters>
  <Lines>98</Lines>
  <Paragraphs>27</Paragraphs>
  <TotalTime>0</TotalTime>
  <ScaleCrop>false</ScaleCrop>
  <LinksUpToDate>false</LinksUpToDate>
  <CharactersWithSpaces>13922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2017-09-27T09:59:00Z</dcterms:created>
  <dc:creator>Administrator</dc:creator>
  <cp:lastModifiedBy>user</cp:lastModifiedBy>
  <cp:lastPrinted>2017-09-28T18:18:00Z</cp:lastPrinted>
  <dcterms:modified xsi:type="dcterms:W3CDTF">2022-06-16T16:14:12Z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